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b w:val="false"/>
          <w:b w:val="false"/>
          <w:i w:val="false"/>
          <w:i w:val="false"/>
          <w:caps w:val="false"/>
          <w:smallCaps w:val="false"/>
          <w:color w:val="A2A2A2"/>
          <w:spacing w:val="0"/>
          <w:sz w:val="16"/>
        </w:rPr>
      </w:pPr>
      <w:r>
        <w:rPr>
          <w:rFonts w:ascii="Varela Round;sans-serif" w:hAnsi="Varela Round;sans-serif"/>
          <w:b w:val="false"/>
          <w:i w:val="false"/>
          <w:caps w:val="false"/>
          <w:smallCaps w:val="false"/>
          <w:color w:val="A2A2A2"/>
          <w:spacing w:val="0"/>
          <w:sz w:val="16"/>
        </w:rPr>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Trento, </w:t>
      </w:r>
      <w:r>
        <w:rPr>
          <w:rFonts w:ascii="Times New Roman" w:hAnsi="Times New Roman"/>
          <w:b w:val="false"/>
          <w:i w:val="false"/>
          <w:caps w:val="false"/>
          <w:smallCaps w:val="false"/>
          <w:color w:val="000000"/>
          <w:spacing w:val="0"/>
          <w:sz w:val="24"/>
          <w:szCs w:val="24"/>
        </w:rPr>
        <w:t>7</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novembre</w:t>
      </w:r>
      <w:r>
        <w:rPr>
          <w:rFonts w:ascii="Times New Roman" w:hAnsi="Times New Roman"/>
          <w:b w:val="false"/>
          <w:i w:val="false"/>
          <w:caps w:val="false"/>
          <w:smallCaps w:val="false"/>
          <w:color w:val="000000"/>
          <w:spacing w:val="0"/>
          <w:sz w:val="24"/>
          <w:szCs w:val="24"/>
        </w:rPr>
        <w:t xml:space="preserve"> 2019</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jc w:val="center"/>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Interrogazione scritta n.</w:t>
      </w:r>
    </w:p>
    <w:p>
      <w:pPr>
        <w:pStyle w:val="Normal"/>
        <w:jc w:val="both"/>
        <w:rPr>
          <w:rFonts w:ascii="TimesNewRomanPSMT" w:hAnsi="TimesNewRomanPSMT"/>
          <w:outline w:val="false"/>
          <w:color w:val="000000"/>
          <w:spacing w:val="0"/>
          <w:kern w:val="0"/>
          <w:sz w:val="24"/>
          <w:u w:val="none"/>
        </w:rPr>
      </w:pPr>
      <w:r>
        <w:rPr>
          <w:rFonts w:ascii="TimesNewRomanPSMT" w:hAnsi="TimesNewRomanPSMT"/>
          <w:outline w:val="false"/>
          <w:color w:val="000000"/>
          <w:spacing w:val="0"/>
          <w:kern w:val="0"/>
          <w:sz w:val="24"/>
          <w:u w:val="none"/>
        </w:rPr>
      </w:r>
    </w:p>
    <w:p>
      <w:pPr>
        <w:pStyle w:val="Normal"/>
        <w:jc w:val="both"/>
        <w:rPr/>
      </w:pPr>
      <w:r>
        <w:rPr>
          <w:rFonts w:ascii="TimesNewRomanPSMT" w:hAnsi="TimesNewRomanPSMT"/>
          <w:i w:val="false"/>
          <w:iCs w:val="false"/>
          <w:outline w:val="false"/>
          <w:color w:val="000000"/>
          <w:spacing w:val="0"/>
          <w:kern w:val="0"/>
          <w:sz w:val="24"/>
          <w:u w:val="none"/>
        </w:rPr>
        <w:t>Il testo vigente della</w:t>
      </w:r>
      <w:r>
        <w:rPr>
          <w:rFonts w:ascii="TimesNewRomanPSMT" w:hAnsi="TimesNewRomanPSMT"/>
          <w:i w:val="false"/>
          <w:iCs w:val="false"/>
          <w:outline w:val="false"/>
          <w:color w:val="000000"/>
          <w:spacing w:val="0"/>
          <w:kern w:val="0"/>
          <w:sz w:val="24"/>
          <w:u w:val="none"/>
        </w:rPr>
        <w:t xml:space="preserve"> legge provinciale</w:t>
      </w:r>
      <w:r>
        <w:rPr>
          <w:rFonts w:ascii="TimesNewRomanPSMT" w:hAnsi="TimesNewRomanPSMT"/>
          <w:i w:val="false"/>
          <w:iCs w:val="false"/>
          <w:outline w:val="false"/>
          <w:color w:val="000000"/>
          <w:spacing w:val="0"/>
          <w:kern w:val="0"/>
          <w:sz w:val="24"/>
          <w:u w:val="none"/>
        </w:rPr>
        <w:t xml:space="preserve"> </w:t>
      </w:r>
      <w:r>
        <w:rPr>
          <w:rFonts w:ascii="TimesNewRomanPSMT" w:hAnsi="TimesNewRomanPSMT"/>
          <w:b w:val="false"/>
          <w:i w:val="false"/>
          <w:iCs w:val="false"/>
          <w:caps w:val="false"/>
          <w:smallCaps w:val="false"/>
          <w:outline w:val="false"/>
          <w:color w:val="000000"/>
          <w:spacing w:val="0"/>
          <w:kern w:val="0"/>
          <w:sz w:val="24"/>
          <w:u w:val="none"/>
        </w:rPr>
        <w:t>12 febbraio 2019, n. 1,</w:t>
      </w:r>
      <w:r>
        <w:rPr>
          <w:rFonts w:eastAsia="Calibri" w:cs="Times New Roman" w:ascii="TimesNewRomanPSMT" w:hAnsi="TimesNewRomanPSMT"/>
          <w:b w:val="false"/>
          <w:i w:val="false"/>
          <w:iCs w:val="false"/>
          <w:caps w:val="false"/>
          <w:smallCaps w:val="false"/>
          <w:outline w:val="false"/>
          <w:color w:val="000000"/>
          <w:spacing w:val="0"/>
          <w:kern w:val="0"/>
          <w:sz w:val="24"/>
          <w:szCs w:val="22"/>
          <w:u w:val="none"/>
          <w:lang w:val="it-IT" w:eastAsia="zh-CN" w:bidi="ar-SA"/>
        </w:rPr>
        <w:t xml:space="preserve"> Variazione al bilancio di previsione della Provincia autonoma di Trento per gli esercizi finanziari 2019-2021, l’articolo 9, rubricato “Sospensione degli adempimenti relativi all'esercizio in forma associata di funzioni, compiti e attività dei comuni e altre disposizioni in materia di enti locali”, comma 1, prevede che “in attesa della revisione della legislazione provinciale relativa alla definizione dei rapporti tra i diversi livelli di governo dell'autonomia trentina, anche con riferimento all'esercizio in forma associata di funzioni, compiti e attività da parte dei comuni, è sospeso, fino al 1° gennaio 2020, l'obbligo di adozione da parte dei comuni dei provvedimenti previsti dall'articolo 9 bis della l.p. 3/2006 (Norme in materia di governo dell'autonomia del Trentino), e dalla relativa disciplina attuativa non ancora adottati alla data di entrata in vigore di questo articolo”. </w:t>
      </w:r>
      <w:r>
        <w:rPr>
          <w:rFonts w:eastAsia="Calibri" w:cs="Times New Roman" w:ascii="TimesNewRomanPSMT" w:hAnsi="TimesNewRomanPSMT"/>
          <w:b w:val="false"/>
          <w:i w:val="false"/>
          <w:iCs w:val="false"/>
          <w:caps w:val="false"/>
          <w:smallCaps w:val="false"/>
          <w:outline w:val="false"/>
          <w:color w:val="000000"/>
          <w:spacing w:val="0"/>
          <w:kern w:val="0"/>
          <w:sz w:val="24"/>
          <w:szCs w:val="22"/>
          <w:u w:val="none"/>
          <w:lang w:val="it-IT" w:eastAsia="zh-CN" w:bidi="ar-SA"/>
        </w:rPr>
        <w:t xml:space="preserve">I successivi commi prevedono ulteriori disposizioni in capo agli enti locali, sempre “ </w:t>
      </w:r>
      <w:r>
        <w:rPr>
          <w:rFonts w:eastAsia="Calibri" w:cs="Times New Roman" w:ascii="TimesNewRomanPSMT" w:hAnsi="TimesNewRomanPSMT"/>
          <w:b w:val="false"/>
          <w:i w:val="false"/>
          <w:iCs w:val="false"/>
          <w:caps w:val="false"/>
          <w:smallCaps w:val="false"/>
          <w:outline w:val="false"/>
          <w:color w:val="000000"/>
          <w:spacing w:val="0"/>
          <w:kern w:val="0"/>
          <w:sz w:val="24"/>
          <w:szCs w:val="22"/>
          <w:u w:val="none"/>
          <w:lang w:val="it-IT" w:eastAsia="zh-CN" w:bidi="ar-SA"/>
        </w:rPr>
        <w:t xml:space="preserve">in attesa della revisione della legislazione provinciale relativa alla definizione dei rapporti tra i diversi livelli di governo dell'autonomia trentina”. Nel testo approvato dal Consiglio provinciale in data 14 febbraio 2019, poi modificato con la </w:t>
      </w:r>
      <w:r>
        <w:rPr>
          <w:rFonts w:eastAsia="Calibri" w:cs="Times New Roman" w:ascii="TimesNewRomanPSMT" w:hAnsi="TimesNewRomanPSMT"/>
          <w:b w:val="false"/>
          <w:i w:val="false"/>
          <w:iCs w:val="false"/>
          <w:caps w:val="false"/>
          <w:smallCaps w:val="false"/>
          <w:outline w:val="false"/>
          <w:color w:val="000000"/>
          <w:spacing w:val="0"/>
          <w:kern w:val="0"/>
          <w:sz w:val="24"/>
          <w:szCs w:val="22"/>
          <w:highlight w:val="white"/>
          <w:u w:val="none"/>
          <w:lang w:val="it-IT" w:eastAsia="zh-CN" w:bidi="ar-SA"/>
        </w:rPr>
        <w:t xml:space="preserve">l.p. 11 giugno 2019, n. 2 e con la  l.p. 6 agosto 2019, n. 5, prevedeva al comma 4 dell’art. 9 che “In attesa della revisione di cui al comma 1, e comunque non oltre centottanta giorni dalla data di entrata in vigore di questo articolo, per i comuni istituiti a seguito di fusione è sospeso l'obbligo previsto dall'articolo 36 ter 1, comma 2 ter, della legge provinciale 19 luglio 1990, n. 23 (legge sui contratti e sui beni provinciali 1990)”. </w:t>
      </w:r>
    </w:p>
    <w:p>
      <w:pPr>
        <w:pStyle w:val="Normal"/>
        <w:jc w:val="both"/>
        <w:rPr/>
      </w:pPr>
      <w:r>
        <w:rPr>
          <w:rFonts w:eastAsia="Calibri" w:cs="Times New Roman" w:ascii="TimesNewRomanPSMT" w:hAnsi="TimesNewRomanPSMT"/>
          <w:b w:val="false"/>
          <w:i w:val="false"/>
          <w:iCs w:val="false"/>
          <w:caps w:val="false"/>
          <w:smallCaps w:val="false"/>
          <w:outline w:val="false"/>
          <w:color w:val="000000"/>
          <w:spacing w:val="0"/>
          <w:kern w:val="0"/>
          <w:sz w:val="24"/>
          <w:szCs w:val="22"/>
          <w:highlight w:val="white"/>
          <w:u w:val="none"/>
          <w:lang w:val="it-IT" w:eastAsia="zh-CN" w:bidi="ar-SA"/>
        </w:rPr>
        <w:t>L</w:t>
      </w:r>
      <w:r>
        <w:rPr>
          <w:rFonts w:eastAsia="Calibri" w:cs="Times New Roman" w:ascii="TimesNewRomanPSMT" w:hAnsi="TimesNewRomanPSMT"/>
          <w:b w:val="false"/>
          <w:i w:val="false"/>
          <w:iCs w:val="false"/>
          <w:caps w:val="false"/>
          <w:smallCaps w:val="false"/>
          <w:outline w:val="false"/>
          <w:color w:val="000000"/>
          <w:spacing w:val="0"/>
          <w:kern w:val="0"/>
          <w:sz w:val="24"/>
          <w:szCs w:val="22"/>
          <w:highlight w:val="white"/>
          <w:u w:val="none"/>
          <w:lang w:val="it-IT" w:eastAsia="zh-CN" w:bidi="ar-SA"/>
        </w:rPr>
        <w:t>a norma prevede quindi una “</w:t>
      </w:r>
      <w:r>
        <w:rPr>
          <w:rFonts w:eastAsia="Calibri" w:cs="Times New Roman" w:ascii="TimesNewRomanPSMT" w:hAnsi="TimesNewRomanPSMT"/>
          <w:b w:val="false"/>
          <w:i w:val="false"/>
          <w:iCs w:val="false"/>
          <w:caps w:val="false"/>
          <w:smallCaps w:val="false"/>
          <w:outline w:val="false"/>
          <w:color w:val="000000"/>
          <w:spacing w:val="0"/>
          <w:kern w:val="0"/>
          <w:sz w:val="24"/>
          <w:szCs w:val="22"/>
          <w:highlight w:val="white"/>
          <w:u w:val="none"/>
          <w:lang w:val="it-IT" w:eastAsia="zh-CN" w:bidi="ar-SA"/>
        </w:rPr>
        <w:t xml:space="preserve">revisione della legislazione provinciale relativa alla definizione dei rapporti tra i diversi livelli di governo dell'autonomia trentina”, </w:t>
      </w:r>
      <w:r>
        <w:rPr>
          <w:rFonts w:eastAsia="Calibri" w:cs="Times New Roman" w:ascii="TimesNewRomanPSMT" w:hAnsi="TimesNewRomanPSMT"/>
          <w:b w:val="false"/>
          <w:i w:val="false"/>
          <w:iCs w:val="false"/>
          <w:caps w:val="false"/>
          <w:smallCaps w:val="false"/>
          <w:outline w:val="false"/>
          <w:color w:val="000000"/>
          <w:spacing w:val="0"/>
          <w:kern w:val="0"/>
          <w:sz w:val="24"/>
          <w:szCs w:val="22"/>
          <w:highlight w:val="white"/>
          <w:u w:val="none"/>
          <w:lang w:val="it-IT" w:eastAsia="zh-CN" w:bidi="ar-SA"/>
        </w:rPr>
        <w:t xml:space="preserve">e nella sua formulazione originale veniva anche stabilito un limite di </w:t>
      </w:r>
      <w:r>
        <w:rPr>
          <w:rFonts w:eastAsia="Calibri" w:cs="Times New Roman" w:ascii="TimesNewRomanPSMT" w:hAnsi="TimesNewRomanPSMT"/>
          <w:b w:val="false"/>
          <w:i w:val="false"/>
          <w:iCs w:val="false"/>
          <w:caps w:val="false"/>
          <w:smallCaps w:val="false"/>
          <w:outline w:val="false"/>
          <w:color w:val="000000"/>
          <w:spacing w:val="0"/>
          <w:kern w:val="0"/>
          <w:sz w:val="24"/>
          <w:szCs w:val="22"/>
          <w:highlight w:val="white"/>
          <w:u w:val="none"/>
          <w:lang w:val="it-IT" w:eastAsia="zh-CN" w:bidi="ar-SA"/>
        </w:rPr>
        <w:t xml:space="preserve">centottanta giorni </w:t>
      </w:r>
      <w:r>
        <w:rPr>
          <w:rFonts w:eastAsia="Calibri" w:cs="Times New Roman" w:ascii="TimesNewRomanPSMT" w:hAnsi="TimesNewRomanPSMT"/>
          <w:b w:val="false"/>
          <w:i w:val="false"/>
          <w:iCs w:val="false"/>
          <w:caps w:val="false"/>
          <w:smallCaps w:val="false"/>
          <w:outline w:val="false"/>
          <w:color w:val="000000"/>
          <w:spacing w:val="0"/>
          <w:kern w:val="0"/>
          <w:sz w:val="24"/>
          <w:szCs w:val="22"/>
          <w:highlight w:val="white"/>
          <w:u w:val="none"/>
          <w:lang w:val="it-IT" w:eastAsia="zh-CN" w:bidi="ar-SA"/>
        </w:rPr>
        <w:t xml:space="preserve">a far data da febbraio 2019. Questo, evidentemente, per garantire certezza nel delicato quadro istituzionale degli enti locali e dei rapporti </w:t>
      </w:r>
      <w:r>
        <w:rPr>
          <w:rFonts w:eastAsia="Calibri" w:cs="Times New Roman" w:ascii="TimesNewRomanPSMT" w:hAnsi="TimesNewRomanPSMT"/>
          <w:b w:val="false"/>
          <w:i w:val="false"/>
          <w:iCs w:val="false"/>
          <w:caps w:val="false"/>
          <w:smallCaps w:val="false"/>
          <w:outline w:val="false"/>
          <w:color w:val="000000"/>
          <w:spacing w:val="0"/>
          <w:kern w:val="0"/>
          <w:sz w:val="24"/>
          <w:szCs w:val="22"/>
          <w:highlight w:val="white"/>
          <w:u w:val="none"/>
          <w:lang w:val="it-IT" w:eastAsia="zh-CN" w:bidi="ar-SA"/>
        </w:rPr>
        <w:t xml:space="preserve">tra i diversi livelli di governo, </w:t>
      </w:r>
      <w:r>
        <w:rPr>
          <w:rFonts w:eastAsia="Calibri" w:cs="Times New Roman" w:ascii="TimesNewRomanPSMT" w:hAnsi="TimesNewRomanPSMT"/>
          <w:b w:val="false"/>
          <w:i w:val="false"/>
          <w:iCs w:val="false"/>
          <w:caps w:val="false"/>
          <w:smallCaps w:val="false"/>
          <w:outline w:val="false"/>
          <w:color w:val="000000"/>
          <w:spacing w:val="0"/>
          <w:kern w:val="0"/>
          <w:sz w:val="24"/>
          <w:szCs w:val="22"/>
          <w:highlight w:val="white"/>
          <w:u w:val="none"/>
          <w:lang w:val="it-IT" w:eastAsia="zh-CN" w:bidi="ar-SA"/>
        </w:rPr>
        <w:t xml:space="preserve">come per altro chiesto a gran voce e a più riprese dai rappresentati degli enti locali; da ultimo nel corso delle sedute del CAL di novembre 2019 </w:t>
      </w:r>
      <w:r>
        <w:rPr>
          <w:rFonts w:eastAsia="Calibri" w:cs="Times New Roman" w:ascii="TimesNewRomanPSMT" w:hAnsi="TimesNewRomanPSMT"/>
          <w:b w:val="false"/>
          <w:i w:val="false"/>
          <w:iCs w:val="false"/>
          <w:caps w:val="false"/>
          <w:smallCaps w:val="false"/>
          <w:outline w:val="false"/>
          <w:color w:val="000000"/>
          <w:spacing w:val="0"/>
          <w:kern w:val="0"/>
          <w:sz w:val="24"/>
          <w:szCs w:val="22"/>
          <w:highlight w:val="white"/>
          <w:u w:val="none"/>
          <w:lang w:val="it-IT" w:eastAsia="zh-CN" w:bidi="ar-SA"/>
        </w:rPr>
        <w:t xml:space="preserve">aventi ad oggetto il nuovo protocollo di finanza locale, in cui diversi membri hanno chiesto di capire “quale sia il modello, il destino della riforma istituzionale, quali siano le strategie”. Quale sia, in definitiva, il nuovo modello che la Provincia intende promuovere e che finora si è potuto intravvedere giocoforza solo in modo frammentario e parziale attraverso annunci a mezzo stampa. </w:t>
      </w:r>
    </w:p>
    <w:p>
      <w:pPr>
        <w:pStyle w:val="Normal"/>
        <w:jc w:val="both"/>
        <w:rPr>
          <w:rFonts w:ascii="TimesNewRomanPSMT" w:hAnsi="TimesNewRomanPSMT"/>
          <w:i w:val="false"/>
          <w:i w:val="false"/>
          <w:iCs w:val="false"/>
          <w:outline w:val="false"/>
          <w:color w:val="000000"/>
          <w:spacing w:val="0"/>
          <w:kern w:val="0"/>
          <w:sz w:val="24"/>
          <w:u w:val="none"/>
        </w:rPr>
      </w:pPr>
      <w:r>
        <w:rPr>
          <w:rFonts w:ascii="TimesNewRomanPSMT" w:hAnsi="TimesNewRomanPSMT"/>
          <w:i w:val="false"/>
          <w:iCs w:val="false"/>
          <w:outline w:val="false"/>
          <w:color w:val="000000"/>
          <w:spacing w:val="0"/>
          <w:kern w:val="0"/>
          <w:sz w:val="24"/>
          <w:u w:val="none"/>
        </w:rPr>
      </w:r>
    </w:p>
    <w:p>
      <w:pPr>
        <w:pStyle w:val="Normal"/>
        <w:jc w:val="center"/>
        <w:rPr>
          <w:rFonts w:ascii="TimesNewRomanPSMT" w:hAnsi="TimesNewRomanPSMT"/>
          <w:b/>
          <w:b/>
          <w:bCs/>
          <w:i w:val="false"/>
          <w:i w:val="false"/>
          <w:iCs w:val="false"/>
          <w:outline w:val="false"/>
          <w:color w:val="000000"/>
          <w:spacing w:val="0"/>
          <w:kern w:val="0"/>
          <w:sz w:val="24"/>
          <w:u w:val="none"/>
        </w:rPr>
      </w:pPr>
      <w:r>
        <w:rPr>
          <w:rFonts w:ascii="TimesNewRomanPSMT" w:hAnsi="TimesNewRomanPSMT"/>
          <w:b/>
          <w:bCs/>
          <w:i w:val="false"/>
          <w:iCs w:val="false"/>
          <w:outline w:val="false"/>
          <w:color w:val="000000"/>
          <w:spacing w:val="0"/>
          <w:kern w:val="0"/>
          <w:sz w:val="24"/>
          <w:u w:val="none"/>
        </w:rPr>
        <w:t>Tutto ciò premesso si interroga la Giunta per sapere:</w:t>
      </w:r>
    </w:p>
    <w:p>
      <w:pPr>
        <w:pStyle w:val="Normal"/>
        <w:jc w:val="center"/>
        <w:rPr>
          <w:rFonts w:ascii="TimesNewRomanPSMT" w:hAnsi="TimesNewRomanPSMT" w:eastAsia="Calibri" w:cs="Times New Roman"/>
          <w:b/>
          <w:b/>
          <w:bCs/>
          <w:i w:val="false"/>
          <w:i w:val="false"/>
          <w:iCs w:val="false"/>
          <w:outline w:val="false"/>
          <w:color w:val="000000"/>
          <w:spacing w:val="0"/>
          <w:kern w:val="0"/>
          <w:sz w:val="24"/>
          <w:szCs w:val="22"/>
          <w:u w:val="none"/>
          <w:lang w:val="it-IT" w:bidi="ar-SA"/>
        </w:rPr>
      </w:pPr>
      <w:r>
        <w:rPr>
          <w:rFonts w:eastAsia="Calibri" w:cs="Times New Roman" w:ascii="TimesNewRomanPSMT" w:hAnsi="TimesNewRomanPSMT"/>
          <w:b/>
          <w:bCs/>
          <w:i w:val="false"/>
          <w:iCs w:val="false"/>
          <w:outline w:val="false"/>
          <w:color w:val="000000"/>
          <w:spacing w:val="0"/>
          <w:kern w:val="0"/>
          <w:sz w:val="24"/>
          <w:szCs w:val="22"/>
          <w:u w:val="none"/>
          <w:lang w:val="it-IT" w:bidi="ar-SA"/>
        </w:rPr>
      </w:r>
    </w:p>
    <w:p>
      <w:pPr>
        <w:pStyle w:val="Normal"/>
        <w:numPr>
          <w:ilvl w:val="0"/>
          <w:numId w:val="1"/>
        </w:numPr>
        <w:jc w:val="both"/>
        <w:rPr>
          <w:rFonts w:ascii="TimesNewRomanPSMT" w:hAnsi="TimesNewRomanPSMT"/>
          <w:i w:val="false"/>
          <w:i w:val="false"/>
          <w:iCs w:val="false"/>
          <w:outline w:val="false"/>
          <w:color w:val="000000"/>
          <w:spacing w:val="0"/>
          <w:kern w:val="0"/>
          <w:sz w:val="24"/>
          <w:u w:val="none"/>
        </w:rPr>
      </w:pPr>
      <w:r>
        <w:rPr>
          <w:rFonts w:eastAsia="Calibri" w:cs="Times New Roman" w:ascii="TimesNewRomanPSMT" w:hAnsi="TimesNewRomanPSMT"/>
          <w:i w:val="false"/>
          <w:iCs w:val="false"/>
          <w:outline w:val="false"/>
          <w:color w:val="000000"/>
          <w:spacing w:val="0"/>
          <w:kern w:val="0"/>
          <w:sz w:val="24"/>
          <w:szCs w:val="22"/>
          <w:u w:val="none"/>
          <w:lang w:val="it-IT" w:bidi="ar-SA"/>
        </w:rPr>
        <w:t xml:space="preserve">A che punto è la definizione </w:t>
      </w:r>
      <w:r>
        <w:rPr>
          <w:rFonts w:eastAsia="Calibri" w:cs="Times New Roman" w:ascii="TimesNewRomanPSMT" w:hAnsi="TimesNewRomanPSMT"/>
          <w:b w:val="false"/>
          <w:i w:val="false"/>
          <w:iCs w:val="false"/>
          <w:caps w:val="false"/>
          <w:smallCaps w:val="false"/>
          <w:outline w:val="false"/>
          <w:color w:val="000000"/>
          <w:spacing w:val="0"/>
          <w:kern w:val="0"/>
          <w:sz w:val="24"/>
          <w:szCs w:val="22"/>
          <w:u w:val="none"/>
          <w:lang w:val="it-IT" w:eastAsia="zh-CN" w:bidi="ar-SA"/>
        </w:rPr>
        <w:t xml:space="preserve">della “revisione della legislazione provinciale relativa alla definizione dei rapporti tra i diversi livelli di governo dell'autonomia trentina” </w:t>
      </w:r>
      <w:r>
        <w:rPr>
          <w:rFonts w:eastAsia="Calibri" w:cs="Times New Roman" w:ascii="TimesNewRomanPSMT" w:hAnsi="TimesNewRomanPSMT"/>
          <w:b w:val="false"/>
          <w:i w:val="false"/>
          <w:iCs w:val="false"/>
          <w:caps w:val="false"/>
          <w:smallCaps w:val="false"/>
          <w:outline w:val="false"/>
          <w:color w:val="000000"/>
          <w:spacing w:val="0"/>
          <w:kern w:val="0"/>
          <w:sz w:val="24"/>
          <w:szCs w:val="22"/>
          <w:u w:val="none"/>
          <w:lang w:val="it-IT" w:eastAsia="zh-CN" w:bidi="ar-SA"/>
        </w:rPr>
        <w:t xml:space="preserve">di cui alla l.p. 1/2019? </w:t>
      </w:r>
    </w:p>
    <w:p>
      <w:pPr>
        <w:pStyle w:val="Normal"/>
        <w:numPr>
          <w:ilvl w:val="0"/>
          <w:numId w:val="1"/>
        </w:numPr>
        <w:jc w:val="both"/>
        <w:rPr>
          <w:rFonts w:ascii="TimesNewRomanPSMT" w:hAnsi="TimesNewRomanPSMT"/>
          <w:i w:val="false"/>
          <w:i w:val="false"/>
          <w:iCs w:val="false"/>
          <w:outline w:val="false"/>
          <w:color w:val="000000"/>
          <w:spacing w:val="0"/>
          <w:kern w:val="0"/>
          <w:sz w:val="24"/>
          <w:u w:val="none"/>
        </w:rPr>
      </w:pPr>
      <w:r>
        <w:rPr>
          <w:rFonts w:eastAsia="Calibri" w:cs="Times New Roman" w:ascii="TimesNewRomanPSMT" w:hAnsi="TimesNewRomanPSMT"/>
          <w:b w:val="false"/>
          <w:i w:val="false"/>
          <w:iCs w:val="false"/>
          <w:caps w:val="false"/>
          <w:smallCaps w:val="false"/>
          <w:outline w:val="false"/>
          <w:color w:val="000000"/>
          <w:spacing w:val="0"/>
          <w:kern w:val="0"/>
          <w:sz w:val="24"/>
          <w:szCs w:val="22"/>
          <w:u w:val="none"/>
          <w:lang w:val="it-IT" w:eastAsia="zh-CN" w:bidi="ar-SA"/>
        </w:rPr>
        <w:t>Quando è prevista la presentazione della “revisione” e quale percorso legislativo si intende seguire?</w:t>
      </w:r>
    </w:p>
    <w:p>
      <w:pPr>
        <w:pStyle w:val="Normal"/>
        <w:numPr>
          <w:ilvl w:val="0"/>
          <w:numId w:val="1"/>
        </w:numPr>
        <w:jc w:val="both"/>
        <w:rPr>
          <w:rFonts w:ascii="TimesNewRomanPSMT" w:hAnsi="TimesNewRomanPSMT"/>
          <w:i w:val="false"/>
          <w:i w:val="false"/>
          <w:iCs w:val="false"/>
          <w:outline w:val="false"/>
          <w:color w:val="000000"/>
          <w:spacing w:val="0"/>
          <w:kern w:val="0"/>
          <w:sz w:val="24"/>
          <w:u w:val="none"/>
        </w:rPr>
      </w:pPr>
      <w:r>
        <w:rPr>
          <w:rFonts w:eastAsia="Calibri" w:cs="Times New Roman" w:ascii="TimesNewRomanPSMT" w:hAnsi="TimesNewRomanPSMT"/>
          <w:b w:val="false"/>
          <w:i w:val="false"/>
          <w:iCs w:val="false"/>
          <w:caps w:val="false"/>
          <w:smallCaps w:val="false"/>
          <w:outline w:val="false"/>
          <w:color w:val="000000"/>
          <w:spacing w:val="0"/>
          <w:kern w:val="0"/>
          <w:sz w:val="24"/>
          <w:szCs w:val="22"/>
          <w:u w:val="none"/>
          <w:lang w:val="it-IT" w:eastAsia="zh-CN" w:bidi="ar-SA"/>
        </w:rPr>
        <w:t xml:space="preserve">Quali sono le intenzioni della Giunta </w:t>
      </w:r>
      <w:bookmarkStart w:id="0" w:name="__DdeLink__154_668073259"/>
      <w:r>
        <w:rPr>
          <w:rFonts w:eastAsia="Calibri" w:cs="Times New Roman" w:ascii="TimesNewRomanPSMT" w:hAnsi="TimesNewRomanPSMT"/>
          <w:b w:val="false"/>
          <w:i w:val="false"/>
          <w:iCs w:val="false"/>
          <w:caps w:val="false"/>
          <w:smallCaps w:val="false"/>
          <w:outline w:val="false"/>
          <w:color w:val="000000"/>
          <w:spacing w:val="0"/>
          <w:kern w:val="0"/>
          <w:sz w:val="24"/>
          <w:szCs w:val="22"/>
          <w:u w:val="none"/>
          <w:lang w:val="it-IT" w:eastAsia="zh-CN" w:bidi="ar-SA"/>
        </w:rPr>
        <w:t>in merito alle Comunità di Valle</w:t>
      </w:r>
      <w:bookmarkEnd w:id="0"/>
      <w:r>
        <w:rPr>
          <w:rFonts w:eastAsia="Calibri" w:cs="Times New Roman" w:ascii="TimesNewRomanPSMT" w:hAnsi="TimesNewRomanPSMT"/>
          <w:b w:val="false"/>
          <w:i w:val="false"/>
          <w:iCs w:val="false"/>
          <w:caps w:val="false"/>
          <w:smallCaps w:val="false"/>
          <w:outline w:val="false"/>
          <w:color w:val="000000"/>
          <w:spacing w:val="0"/>
          <w:kern w:val="0"/>
          <w:sz w:val="24"/>
          <w:szCs w:val="22"/>
          <w:u w:val="none"/>
          <w:lang w:val="it-IT" w:eastAsia="zh-CN" w:bidi="ar-SA"/>
        </w:rPr>
        <w:t>?</w:t>
      </w:r>
    </w:p>
    <w:p>
      <w:pPr>
        <w:pStyle w:val="Normal"/>
        <w:numPr>
          <w:ilvl w:val="0"/>
          <w:numId w:val="1"/>
        </w:numPr>
        <w:jc w:val="both"/>
        <w:rPr>
          <w:rFonts w:ascii="TimesNewRomanPSMT" w:hAnsi="TimesNewRomanPSMT"/>
          <w:i w:val="false"/>
          <w:i w:val="false"/>
          <w:iCs w:val="false"/>
          <w:outline w:val="false"/>
          <w:color w:val="000000"/>
          <w:spacing w:val="0"/>
          <w:kern w:val="0"/>
          <w:sz w:val="24"/>
          <w:u w:val="none"/>
        </w:rPr>
      </w:pPr>
      <w:r>
        <w:rPr>
          <w:rFonts w:eastAsia="Calibri" w:cs="Times New Roman" w:ascii="TimesNewRomanPSMT" w:hAnsi="TimesNewRomanPSMT"/>
          <w:b w:val="false"/>
          <w:i w:val="false"/>
          <w:iCs w:val="false"/>
          <w:caps w:val="false"/>
          <w:smallCaps w:val="false"/>
          <w:outline w:val="false"/>
          <w:color w:val="000000"/>
          <w:spacing w:val="0"/>
          <w:kern w:val="0"/>
          <w:sz w:val="24"/>
          <w:szCs w:val="22"/>
          <w:u w:val="none"/>
          <w:lang w:val="it-IT" w:eastAsia="zh-CN" w:bidi="ar-SA"/>
        </w:rPr>
        <w:t xml:space="preserve">Eventuali riforme ordinamentali riferite alle Comunità saranno attuabili in tempo per il rinnovo degli organi degli enti previsto per il 2020? </w:t>
      </w:r>
    </w:p>
    <w:p>
      <w:pPr>
        <w:pStyle w:val="Normal"/>
        <w:numPr>
          <w:ilvl w:val="0"/>
          <w:numId w:val="1"/>
        </w:numPr>
        <w:jc w:val="both"/>
        <w:rPr>
          <w:rFonts w:ascii="TimesNewRomanPSMT" w:hAnsi="TimesNewRomanPSMT"/>
          <w:i w:val="false"/>
          <w:i w:val="false"/>
          <w:iCs w:val="false"/>
          <w:outline w:val="false"/>
          <w:color w:val="000000"/>
          <w:spacing w:val="0"/>
          <w:kern w:val="0"/>
          <w:sz w:val="24"/>
          <w:u w:val="none"/>
        </w:rPr>
      </w:pPr>
      <w:r>
        <w:rPr>
          <w:rFonts w:eastAsia="Calibri" w:cs="Times New Roman" w:ascii="TimesNewRomanPSMT" w:hAnsi="TimesNewRomanPSMT"/>
          <w:b w:val="false"/>
          <w:i w:val="false"/>
          <w:iCs w:val="false"/>
          <w:caps w:val="false"/>
          <w:smallCaps w:val="false"/>
          <w:outline w:val="false"/>
          <w:color w:val="000000"/>
          <w:spacing w:val="0"/>
          <w:kern w:val="0"/>
          <w:sz w:val="24"/>
          <w:szCs w:val="22"/>
          <w:u w:val="none"/>
          <w:lang w:val="it-IT" w:eastAsia="zh-CN" w:bidi="ar-SA"/>
        </w:rPr>
        <w:t xml:space="preserve">In caso di risposta negativa alla domanda di cui al punto 4, come si intende procedere? </w:t>
      </w:r>
    </w:p>
    <w:p>
      <w:pPr>
        <w:pStyle w:val="Normal"/>
        <w:ind w:left="720" w:right="0" w:hanging="0"/>
        <w:jc w:val="both"/>
        <w:rPr>
          <w:rFonts w:ascii="TimesNewRomanPSMT" w:hAnsi="TimesNewRomanPSMT"/>
          <w:i w:val="false"/>
          <w:i w:val="false"/>
          <w:iCs w:val="false"/>
          <w:outline w:val="false"/>
          <w:color w:val="000000"/>
          <w:spacing w:val="0"/>
          <w:kern w:val="0"/>
          <w:sz w:val="24"/>
          <w:u w:val="none"/>
        </w:rPr>
      </w:pPr>
      <w:r>
        <w:rPr>
          <w:rFonts w:ascii="TimesNewRomanPSMT" w:hAnsi="TimesNewRomanPSMT"/>
          <w:i w:val="false"/>
          <w:iCs w:val="false"/>
          <w:outline w:val="false"/>
          <w:color w:val="000000"/>
          <w:spacing w:val="0"/>
          <w:kern w:val="0"/>
          <w:sz w:val="24"/>
          <w:u w:val="none"/>
        </w:rPr>
      </w:r>
    </w:p>
    <w:p>
      <w:pPr>
        <w:pStyle w:val="Normal"/>
        <w:jc w:val="both"/>
        <w:rPr>
          <w:rFonts w:ascii="TimesNewRomanPSMT" w:hAnsi="TimesNewRomanPSMT" w:eastAsia="Calibri" w:cs="Times New Roman"/>
          <w:b w:val="false"/>
          <w:b w:val="false"/>
          <w:i w:val="false"/>
          <w:i w:val="false"/>
          <w:caps w:val="false"/>
          <w:smallCaps w:val="false"/>
          <w:outline w:val="false"/>
          <w:color w:val="000000"/>
          <w:spacing w:val="0"/>
          <w:kern w:val="0"/>
          <w:sz w:val="24"/>
          <w:szCs w:val="24"/>
          <w:u w:val="none"/>
          <w:lang w:val="it-IT" w:eastAsia="zh-CN" w:bidi="ar-SA"/>
        </w:rPr>
      </w:pPr>
      <w:r>
        <w:rPr>
          <w:rFonts w:eastAsia="Calibri" w:cs="Times New Roman" w:ascii="TimesNewRomanPSMT" w:hAnsi="TimesNewRomanPSMT"/>
          <w:b w:val="false"/>
          <w:i w:val="false"/>
          <w:caps w:val="false"/>
          <w:smallCaps w:val="false"/>
          <w:outline w:val="false"/>
          <w:color w:val="000000"/>
          <w:spacing w:val="0"/>
          <w:kern w:val="0"/>
          <w:sz w:val="24"/>
          <w:szCs w:val="24"/>
          <w:u w:val="none"/>
          <w:lang w:val="it-IT" w:eastAsia="zh-CN" w:bidi="ar-SA"/>
        </w:rPr>
        <w:t>A norma di regolamento si chiede risposta scritta.</w:t>
      </w:r>
    </w:p>
    <w:p>
      <w:pPr>
        <w:pStyle w:val="Normal"/>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jc w:val="both"/>
        <w:rPr>
          <w:rFonts w:ascii="Times New Roman" w:hAnsi="Times New Roman" w:eastAsia="Calibri" w:cs="Times New Roman"/>
          <w:b w:val="false"/>
          <w:b w:val="false"/>
          <w:i/>
          <w:i/>
          <w:iCs/>
          <w:caps w:val="false"/>
          <w:smallCaps w:val="false"/>
          <w:color w:val="222222"/>
          <w:spacing w:val="0"/>
          <w:sz w:val="24"/>
          <w:szCs w:val="24"/>
          <w:lang w:val="it-IT" w:eastAsia="zh-CN" w:bidi="ar-SA"/>
        </w:rPr>
      </w:pPr>
      <w:r>
        <w:rPr>
          <w:rFonts w:eastAsia="Calibri" w:cs="Times New Roman" w:ascii="Times New Roman" w:hAnsi="Times New Roman"/>
          <w:b w:val="false"/>
          <w:i/>
          <w:iCs/>
          <w:caps w:val="false"/>
          <w:smallCaps w:val="false"/>
          <w:color w:val="222222"/>
          <w:spacing w:val="0"/>
          <w:sz w:val="24"/>
          <w:szCs w:val="24"/>
          <w:lang w:val="it-IT" w:eastAsia="zh-CN" w:bidi="ar-SA"/>
        </w:rPr>
        <w:tab/>
        <w:tab/>
        <w:tab/>
        <w:tab/>
        <w:tab/>
        <w:tab/>
        <w:tab/>
        <w:tab/>
        <w:tab/>
        <w:t>cons. Alessio Manica</w:t>
      </w:r>
    </w:p>
    <w:p>
      <w:pPr>
        <w:pStyle w:val="Corpodeltesto"/>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spacing w:before="0" w:after="140"/>
        <w:jc w:val="both"/>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Varela Round">
    <w:altName w:val="sans-serif"/>
    <w:charset w:val="01"/>
    <w:family w:val="roman"/>
    <w:pitch w:val="variable"/>
  </w:font>
  <w:font w:name="Times New Roman">
    <w:charset w:val="01"/>
    <w:family w:val="roman"/>
    <w:pitch w:val="variable"/>
  </w:font>
  <w:font w:name="TimesNewRomanPSM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r>
  </w:p>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0" t="-11" r="-10" b="-11"/>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14" t="-9" r="-14" b="-9"/>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kinsoku w:val="true"/>
      <w:overflowPunct w:val="false"/>
      <w:autoSpaceDE w:val="true"/>
      <w:bidi w:val="0"/>
      <w:spacing w:lineRule="auto" w:line="254" w:before="0" w:after="160"/>
      <w:jc w:val="left"/>
    </w:pPr>
    <w:rPr>
      <w:rFonts w:ascii="Calibri" w:hAnsi="Calibri" w:eastAsia="Calibri" w:cs="Times New Roman"/>
      <w:color w:val="auto"/>
      <w:kern w:val="0"/>
      <w:sz w:val="22"/>
      <w:szCs w:val="22"/>
      <w:lang w:val="it-IT" w:eastAsia="zh-CN" w:bidi="ar-SA"/>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interrogazione_PDT</Template>
  <TotalTime>5</TotalTime>
  <Application>LibreOffice/6.2.0.3$MacOSX_X86_64 LibreOffice_project/98c6a8a1c6c7b144ce3cc729e34964b47ce25d62</Application>
  <Pages>2</Pages>
  <Words>575</Words>
  <Characters>3171</Characters>
  <CharactersWithSpaces>3738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2019-11-07T12:18:13Z</dcterms:created>
  <dc:creator/>
  <dc:description/>
  <dc:language>it-IT</dc:language>
  <cp:lastModifiedBy/>
  <dcterms:modified xsi:type="dcterms:W3CDTF">2019-11-07T13:04:51Z</dcterms:modified>
  <cp:revision>2</cp:revision>
  <dc:subject/>
  <dc:title>interrogazione_PDT</dc:title>
</cp:coreProperties>
</file>