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82C5A" w14:textId="77777777" w:rsidR="009445D8" w:rsidRDefault="00741976">
      <w:pPr>
        <w:pStyle w:val="Corpotesto"/>
        <w:spacing w:after="0"/>
        <w:ind w:left="612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Ill.mo Signor</w:t>
      </w:r>
    </w:p>
    <w:p w14:paraId="4FCA6D6F" w14:textId="77777777" w:rsidR="009445D8" w:rsidRDefault="00741976">
      <w:pPr>
        <w:pStyle w:val="Corpotesto"/>
        <w:spacing w:after="0"/>
        <w:ind w:left="61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Walter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Kaswalder</w:t>
      </w:r>
      <w:proofErr w:type="spellEnd"/>
    </w:p>
    <w:p w14:paraId="23D51504" w14:textId="77777777" w:rsidR="009445D8" w:rsidRDefault="00741976">
      <w:pPr>
        <w:pStyle w:val="Corpotesto"/>
        <w:spacing w:after="0"/>
        <w:ind w:left="61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Presidente del Consiglio provinciale</w:t>
      </w:r>
    </w:p>
    <w:p w14:paraId="4093FE30" w14:textId="77777777" w:rsidR="009445D8" w:rsidRDefault="00741976">
      <w:pPr>
        <w:pStyle w:val="Corpotesto"/>
        <w:spacing w:after="0"/>
        <w:ind w:left="61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SEDE</w:t>
      </w:r>
    </w:p>
    <w:p w14:paraId="088B5913" w14:textId="77777777" w:rsidR="009445D8" w:rsidRDefault="009445D8">
      <w:pPr>
        <w:pStyle w:val="Corpotesto"/>
        <w:rPr>
          <w:rFonts w:ascii="Times New Roman" w:hAnsi="Times New Roman"/>
          <w:color w:val="000000"/>
          <w:sz w:val="24"/>
          <w:szCs w:val="24"/>
        </w:rPr>
      </w:pPr>
    </w:p>
    <w:p w14:paraId="64E4D503" w14:textId="77777777" w:rsidR="009445D8" w:rsidRDefault="00741976">
      <w:pPr>
        <w:pStyle w:val="Corpotes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Trento, 20 aprile 2021</w:t>
      </w:r>
    </w:p>
    <w:p w14:paraId="39CCCD40" w14:textId="77777777" w:rsidR="009445D8" w:rsidRDefault="00741976">
      <w:pPr>
        <w:pStyle w:val="Corpotes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Interrogazione a risposta scritta n.</w:t>
      </w:r>
    </w:p>
    <w:p w14:paraId="00EADF14" w14:textId="77777777" w:rsidR="009445D8" w:rsidRDefault="00741976">
      <w:pPr>
        <w:pStyle w:val="Corpotes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Contributi a fondo perduto per l’acquisto di carri raccolta</w:t>
      </w:r>
    </w:p>
    <w:p w14:paraId="4D7CB90A" w14:textId="77777777" w:rsidR="009445D8" w:rsidRDefault="007419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Lo scorso 29/05/2020 la Giunta provinciale approvava la delibera n. 738/2020, avente ad oggetto l’approvazione dei criteri per la concessione dei contributi straordinari, per il settore dell'agricoltura, previsti dall'art. 4 della legge provinciale 13 magg</w:t>
      </w:r>
      <w:r>
        <w:rPr>
          <w:rFonts w:ascii="Times New Roman" w:hAnsi="Times New Roman"/>
          <w:color w:val="000000"/>
          <w:sz w:val="24"/>
          <w:szCs w:val="24"/>
        </w:rPr>
        <w:t xml:space="preserve">io 2020, n. 3, a favore di operatori economici per il contrasto della diffusione del Covid-19 e per la promozione della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competitivita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̀ del sistema trentino. </w:t>
      </w:r>
    </w:p>
    <w:p w14:paraId="44D38602" w14:textId="77777777" w:rsidR="009445D8" w:rsidRDefault="007419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Nella delibera di legge che, in risposta a alla situazione emergenziale determinata dal COVID-19, </w:t>
      </w:r>
      <w:r>
        <w:rPr>
          <w:rFonts w:ascii="Times New Roman" w:hAnsi="Times New Roman"/>
          <w:color w:val="000000"/>
          <w:sz w:val="24"/>
          <w:szCs w:val="24"/>
        </w:rPr>
        <w:t xml:space="preserve">“la Provincia ha introdotto varie misure a favore degli operatori economici, volte a contenere gli effetti negativi causati dall’emergenza sanitaria Covid-19 e per la promozione della ripresa economica del Trentino. In particolare con la legge provinciale </w:t>
      </w:r>
      <w:r>
        <w:rPr>
          <w:rFonts w:ascii="Times New Roman" w:hAnsi="Times New Roman"/>
          <w:color w:val="000000"/>
          <w:sz w:val="24"/>
          <w:szCs w:val="24"/>
        </w:rPr>
        <w:t>23 marzo 2020, n. 3 è stata introdotta una serie di misure urgenti di sostegno economico.”</w:t>
      </w:r>
    </w:p>
    <w:p w14:paraId="01C8C3B6" w14:textId="77777777" w:rsidR="009445D8" w:rsidRDefault="00741976">
      <w:pPr>
        <w:pStyle w:val="Corpotes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Nello specifico, l’articolo 4 della succitata legge provinciale, prevede un contributo straordinario, anche nell’ambito del settore agricolo, “a favore di progetti </w:t>
      </w:r>
      <w:r>
        <w:rPr>
          <w:rFonts w:ascii="Times New Roman" w:hAnsi="Times New Roman"/>
          <w:color w:val="000000"/>
          <w:sz w:val="24"/>
          <w:szCs w:val="24"/>
        </w:rPr>
        <w:t>di riorganizzazione aziendale finalizzati all'implementazione delle misure di sicurezza sul luogo di lavoro idonee a garantire il contenimento della diffusione del Covid-19 e progetti di digitalizzazione, volti in particolare alla creazione di nuove piatta</w:t>
      </w:r>
      <w:r>
        <w:rPr>
          <w:rFonts w:ascii="Times New Roman" w:hAnsi="Times New Roman"/>
          <w:color w:val="000000"/>
          <w:sz w:val="24"/>
          <w:szCs w:val="24"/>
        </w:rPr>
        <w:t xml:space="preserve">forme digitali per lo sviluppo del commercio on line, alla fornitura di servizi in remoto,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nonche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́ alla riconversione digitale, compresi gli interventi necessari alla promozione del lavoro agile, di sviluppo di servizi per la fornitura di beni a domicilio,</w:t>
      </w:r>
      <w:r>
        <w:rPr>
          <w:rFonts w:ascii="Times New Roman" w:hAnsi="Times New Roman"/>
          <w:color w:val="000000"/>
          <w:sz w:val="24"/>
          <w:szCs w:val="24"/>
        </w:rPr>
        <w:t xml:space="preserve"> di ricerca e di sviluppo anche in materia di COVID-19, di riconversione produttiva e avvio di nuova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imprenditorialita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̀, in particolare valutando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sostenibilita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̀ di lungo periodo della nuova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attivita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̀, anche per la produzione dei prodotti necessari per r</w:t>
      </w:r>
      <w:r>
        <w:rPr>
          <w:rFonts w:ascii="Times New Roman" w:hAnsi="Times New Roman"/>
          <w:color w:val="000000"/>
          <w:sz w:val="24"/>
          <w:szCs w:val="24"/>
        </w:rPr>
        <w:t>ispondere alla pandemia e di antivirali pertinenti e di investimenti per infrastrutture di prova.”</w:t>
      </w:r>
    </w:p>
    <w:p w14:paraId="0E08CD73" w14:textId="77777777" w:rsidR="009445D8" w:rsidRDefault="00741976">
      <w:pPr>
        <w:pStyle w:val="Corpotes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 delibera 738/2020 definisce quindi poi i criteri e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modalita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̀ per la concessione dei contributi, che per l’esercizio finanziario 2020 ammontavano ad una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disponibilita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̀ di risorse di euro 3.000.000,00,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nonche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́ i termini per la presentazione delle domande. Si legge: “I contributi saranno concessi secondo l’ordine cronologico di presentazione delle domande e nei limiti delle risorse disponibili sul capitolo </w:t>
      </w:r>
      <w:r>
        <w:rPr>
          <w:rFonts w:ascii="Times New Roman" w:hAnsi="Times New Roman"/>
          <w:color w:val="000000"/>
          <w:sz w:val="24"/>
          <w:szCs w:val="24"/>
        </w:rPr>
        <w:t xml:space="preserve">500557 dell’esercizio finanziario 2020. La concessione dei contributi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dovra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̀ essere effettuata entro il 31 dicembre 2020, data stabilita dal sopra citato “Quadro Temporaneo”.”</w:t>
      </w:r>
    </w:p>
    <w:p w14:paraId="02BE6E54" w14:textId="77777777" w:rsidR="009445D8" w:rsidRDefault="00741976">
      <w:pPr>
        <w:pStyle w:val="Corpotes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Assieme alla delibera è stato approvato anche l’allegato a, avente ad oggetto i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criteri e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modalita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̀ per la concessione di contributi straordinari a favore di operatori economici per </w:t>
      </w:r>
      <w:r>
        <w:rPr>
          <w:rFonts w:ascii="Times New Roman" w:hAnsi="Times New Roman"/>
          <w:color w:val="000000"/>
          <w:sz w:val="24"/>
          <w:szCs w:val="24"/>
        </w:rPr>
        <w:t xml:space="preserve">il contrasto della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diffusione del covid-19 e per la promozione della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competitivita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̀ del sistema trentino. Nell’allegato A si ribadisce che “gli aiuti di c</w:t>
      </w:r>
      <w:r>
        <w:rPr>
          <w:rFonts w:ascii="Times New Roman" w:hAnsi="Times New Roman"/>
          <w:color w:val="000000"/>
          <w:sz w:val="24"/>
          <w:szCs w:val="24"/>
        </w:rPr>
        <w:t>ui ai presenti criteri sono rivolti, nell’ambito del settore dell’agricoltura, a progetti di riorganizzazione aziendale finalizzati all'implementazione delle misure di sicurezza sul luogo di lavoro idonee a garantire il contenimento della diffusione del Co</w:t>
      </w:r>
      <w:r>
        <w:rPr>
          <w:rFonts w:ascii="Times New Roman" w:hAnsi="Times New Roman"/>
          <w:color w:val="000000"/>
          <w:sz w:val="24"/>
          <w:szCs w:val="24"/>
        </w:rPr>
        <w:t xml:space="preserve">vid-19 e progetti di digitalizzazione, volti in particolare alla creazione di nuove piattaforme digitali per lo sviluppo del commercio on line, alla fornitura di servizi in remoto,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nonche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́ alla riconversione digitale, compresi gli interventi necessari alla</w:t>
      </w:r>
      <w:r>
        <w:rPr>
          <w:rFonts w:ascii="Times New Roman" w:hAnsi="Times New Roman"/>
          <w:color w:val="000000"/>
          <w:sz w:val="24"/>
          <w:szCs w:val="24"/>
        </w:rPr>
        <w:t xml:space="preserve"> promozione del lavoro agile, di sviluppo di servizi per la fornitura di beni a domicilio, di ricerca e di sviluppo anche in materia di Covid-19, di riconversione produttiva e avvio di nuova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imprenditorialita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̀, in particolare valutando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sostenibilita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̀ di</w:t>
      </w:r>
      <w:r>
        <w:rPr>
          <w:rFonts w:ascii="Times New Roman" w:hAnsi="Times New Roman"/>
          <w:color w:val="000000"/>
          <w:sz w:val="24"/>
          <w:szCs w:val="24"/>
        </w:rPr>
        <w:t xml:space="preserve"> lungo periodo della nuova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attivita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̀, anche per la produzione dei prodotti necessari per rispondere alla pandemia e di antivirali pertinenti e di investimenti per infrastrutture di prova.” Si stabilisce inoltre che possono beneficiare dei contributi le “im</w:t>
      </w:r>
      <w:r>
        <w:rPr>
          <w:rFonts w:ascii="Times New Roman" w:hAnsi="Times New Roman"/>
          <w:color w:val="000000"/>
          <w:sz w:val="24"/>
          <w:szCs w:val="24"/>
        </w:rPr>
        <w:t xml:space="preserve">prese agricole singole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societa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̀ costituite per la conduzione di imprese agricole, che siano in possesso di partita iva agricola, attive anche nel settore della pesca e dell’acquacoltura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nonche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́ le imprese che svolgono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attivita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̀ agrituristica”, che la spe</w:t>
      </w:r>
      <w:r>
        <w:rPr>
          <w:rFonts w:ascii="Times New Roman" w:hAnsi="Times New Roman"/>
          <w:color w:val="000000"/>
          <w:sz w:val="24"/>
          <w:szCs w:val="24"/>
        </w:rPr>
        <w:t xml:space="preserve">sa massima ammissibile a finanziamento è di euro 20.000,00 Iva esclusa, mentre la spesa minima ammissibile a finanziamento è di euro 5.000,00 iva esclusa, e che  i contributi saranno concessi sotto forma di contributo a fondo perduto, nella misura del 60% </w:t>
      </w:r>
      <w:r>
        <w:rPr>
          <w:rFonts w:ascii="Times New Roman" w:hAnsi="Times New Roman"/>
          <w:color w:val="000000"/>
          <w:sz w:val="24"/>
          <w:szCs w:val="24"/>
        </w:rPr>
        <w:t xml:space="preserve">calcolato sulla spesa ammissibile a finanziamento. Si stabilisce poi, tra le altre cose, che la presentazione delle domande è possibile a partire dall'11 giugno e fino al 31 luglio 2020. </w:t>
      </w:r>
    </w:p>
    <w:p w14:paraId="5E9B43D0" w14:textId="77777777" w:rsidR="009445D8" w:rsidRDefault="00741976">
      <w:pPr>
        <w:pStyle w:val="Corpotes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In data 24/07/2020, la Giunta provinciale ha adottato la delibera 1</w:t>
      </w:r>
      <w:r>
        <w:rPr>
          <w:rFonts w:ascii="Times New Roman" w:hAnsi="Times New Roman"/>
          <w:color w:val="000000"/>
          <w:sz w:val="24"/>
          <w:szCs w:val="24"/>
        </w:rPr>
        <w:t xml:space="preserve">073/2020, con la quale </w:t>
      </w:r>
      <w:r>
        <w:rPr>
          <w:rFonts w:ascii="TimesNewRomanPSMT" w:hAnsi="TimesNewRomanPSMT"/>
          <w:sz w:val="24"/>
        </w:rPr>
        <w:t xml:space="preserve">sono stati prorogati fino al 30 settembre 2020 i termini per la presentazione delle domande di cui alla sopra citata deliberazione n. 738/2020. </w:t>
      </w:r>
    </w:p>
    <w:p w14:paraId="05855E5B" w14:textId="77777777" w:rsidR="009445D8" w:rsidRDefault="00741976">
      <w:pPr>
        <w:pStyle w:val="Corpotes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Successivamente, in data 06/11/2020, la Giunta provinciale ha adottato una nuova deliber</w:t>
      </w:r>
      <w:r>
        <w:rPr>
          <w:rFonts w:ascii="Times New Roman" w:hAnsi="Times New Roman"/>
          <w:color w:val="000000"/>
          <w:sz w:val="24"/>
          <w:szCs w:val="24"/>
        </w:rPr>
        <w:t>a, la 1792/2020, avente ad oggetto la r</w:t>
      </w:r>
      <w:r>
        <w:rPr>
          <w:rFonts w:ascii="TimesNewRomanPSMT" w:hAnsi="TimesNewRomanPSMT"/>
          <w:sz w:val="24"/>
        </w:rPr>
        <w:t>iapertura dei termini per la presentazione delle domande per la concessione dei contributi  straordinari, approvati con deliberazione n. 738 del 29 maggio 2020 per il settore dell'agricoltura, a favore di operatori ec</w:t>
      </w:r>
      <w:r>
        <w:rPr>
          <w:rFonts w:ascii="TimesNewRomanPSMT" w:hAnsi="TimesNewRomanPSMT"/>
          <w:sz w:val="24"/>
        </w:rPr>
        <w:t xml:space="preserve">onomici per il contrasto della diffusione del Covid-19 e per la promozione della </w:t>
      </w:r>
      <w:proofErr w:type="spellStart"/>
      <w:r>
        <w:rPr>
          <w:rFonts w:ascii="TimesNewRomanPSMT" w:hAnsi="TimesNewRomanPSMT"/>
          <w:sz w:val="24"/>
        </w:rPr>
        <w:t>competitivita</w:t>
      </w:r>
      <w:proofErr w:type="spellEnd"/>
      <w:r>
        <w:rPr>
          <w:rFonts w:ascii="TimesNewRomanPSMT" w:hAnsi="TimesNewRomanPSMT"/>
          <w:sz w:val="24"/>
        </w:rPr>
        <w:t>̀ del sistema trentino. In questa si legge che “considerata la proroga dello stato di emergenza legato alla pandemia Covid-19, e la difficoltà per i settori econ</w:t>
      </w:r>
      <w:r>
        <w:rPr>
          <w:rFonts w:ascii="TimesNewRomanPSMT" w:hAnsi="TimesNewRomanPSMT"/>
          <w:sz w:val="24"/>
        </w:rPr>
        <w:t xml:space="preserve">omici di continuare le proprie </w:t>
      </w:r>
      <w:proofErr w:type="spellStart"/>
      <w:r>
        <w:rPr>
          <w:rFonts w:ascii="TimesNewRomanPSMT" w:hAnsi="TimesNewRomanPSMT"/>
          <w:sz w:val="24"/>
        </w:rPr>
        <w:t>attivita</w:t>
      </w:r>
      <w:proofErr w:type="spellEnd"/>
      <w:r>
        <w:rPr>
          <w:rFonts w:ascii="TimesNewRomanPSMT" w:hAnsi="TimesNewRomanPSMT"/>
          <w:sz w:val="24"/>
        </w:rPr>
        <w:t>̀, la Giunta provinciale, viste anche le risorse tuttora disponibili sul capitolo 500557 dell’esercizio finanziario 2020, ritiene necessario sostenere le aziende agricole aiutandole ad affrontare la situazione di cris</w:t>
      </w:r>
      <w:r>
        <w:rPr>
          <w:rFonts w:ascii="TimesNewRomanPSMT" w:hAnsi="TimesNewRomanPSMT"/>
          <w:sz w:val="24"/>
        </w:rPr>
        <w:t xml:space="preserve">i che si sta prolungando”, e approva di conseguenza la riapertura del termine per la presentazione delle domande, secondo le </w:t>
      </w:r>
      <w:proofErr w:type="spellStart"/>
      <w:r>
        <w:rPr>
          <w:rFonts w:ascii="TimesNewRomanPSMT" w:hAnsi="TimesNewRomanPSMT"/>
          <w:sz w:val="24"/>
        </w:rPr>
        <w:t>modalita</w:t>
      </w:r>
      <w:proofErr w:type="spellEnd"/>
      <w:r>
        <w:rPr>
          <w:rFonts w:ascii="TimesNewRomanPSMT" w:hAnsi="TimesNewRomanPSMT"/>
          <w:sz w:val="24"/>
        </w:rPr>
        <w:t>̀, i criteri e i co</w:t>
      </w:r>
      <w:r>
        <w:rPr>
          <w:rFonts w:ascii="TimesNewRomanPSMT" w:hAnsi="TimesNewRomanPSMT"/>
          <w:sz w:val="24"/>
        </w:rPr>
        <w:t>sti ammissibili disposti dalla sopra citata deliberazione n. 738 del 29 maggio 2020 a partire dal giorno</w:t>
      </w:r>
      <w:r>
        <w:rPr>
          <w:rFonts w:ascii="TimesNewRomanPSMT" w:hAnsi="TimesNewRomanPSMT"/>
          <w:sz w:val="24"/>
        </w:rPr>
        <w:t xml:space="preserve"> successivo all'adozione della delibera – cioè il 07/11/2020 - e fino al 16/11/2020. </w:t>
      </w:r>
    </w:p>
    <w:p w14:paraId="688180BA" w14:textId="77777777" w:rsidR="009445D8" w:rsidRDefault="00741976">
      <w:pPr>
        <w:pStyle w:val="Corpotesto"/>
        <w:jc w:val="both"/>
        <w:rPr>
          <w:rFonts w:ascii="Times New Roman" w:hAnsi="Times New Roman"/>
          <w:sz w:val="24"/>
        </w:rPr>
      </w:pPr>
      <w:r>
        <w:rPr>
          <w:rFonts w:ascii="TimesNewRomanPSMT" w:hAnsi="TimesNewRomanPSMT"/>
          <w:sz w:val="24"/>
        </w:rPr>
        <w:t>Da ultimo, i</w:t>
      </w:r>
      <w:r>
        <w:rPr>
          <w:rFonts w:ascii="Times New Roman" w:hAnsi="Times New Roman"/>
          <w:color w:val="000000"/>
          <w:sz w:val="24"/>
          <w:szCs w:val="24"/>
        </w:rPr>
        <w:t>n data 22/12/2020, la Giunta provinciale ha approvato una nuova delibera, la 2286/2020, avente ad oggetto “</w:t>
      </w:r>
      <w:r>
        <w:rPr>
          <w:rFonts w:ascii="TimesNewRomanPSMT" w:hAnsi="TimesNewRomanPSMT"/>
          <w:sz w:val="24"/>
        </w:rPr>
        <w:t>precisazioni rispetto ai criteri” definiti con la d</w:t>
      </w:r>
      <w:r>
        <w:rPr>
          <w:rFonts w:ascii="TimesNewRomanPSMT" w:hAnsi="TimesNewRomanPSMT"/>
          <w:sz w:val="24"/>
        </w:rPr>
        <w:t xml:space="preserve">eliberazione della Giunta provinciale n. 738 del 29 maggio 2020. Nella delibera 2286/2020 si legge che “in fase di esame delle domande pervenute, il Servizio Agricoltura ha rilevato come una parte importante di queste </w:t>
      </w:r>
      <w:r>
        <w:rPr>
          <w:rFonts w:ascii="TimesNewRomanPSMT" w:hAnsi="TimesNewRomanPSMT"/>
          <w:sz w:val="24"/>
        </w:rPr>
        <w:lastRenderedPageBreak/>
        <w:t>fosse riferibili all’acquisto di carri</w:t>
      </w:r>
      <w:r>
        <w:rPr>
          <w:rFonts w:ascii="TimesNewRomanPSMT" w:hAnsi="TimesNewRomanPSMT"/>
          <w:sz w:val="24"/>
        </w:rPr>
        <w:t xml:space="preserve"> raccolta. In considerazione di questo e della difficoltà di operare una valutazione istruttoria oggettiva rispetto alle argomentazioni fornite dalle aziende nelle relazioni accompagnatorie alle istanze a giustificazione dell’acquisto in relazione alle ne</w:t>
      </w:r>
      <w:r>
        <w:rPr>
          <w:rFonts w:ascii="TimesNewRomanPSMT" w:hAnsi="TimesNewRomanPSMT"/>
          <w:sz w:val="24"/>
        </w:rPr>
        <w:t xml:space="preserve">cessità conseguenti all’emergenza Covid-19, si rende necessario fornire un indirizzo che escluda la </w:t>
      </w:r>
      <w:proofErr w:type="spellStart"/>
      <w:r>
        <w:rPr>
          <w:rFonts w:ascii="TimesNewRomanPSMT" w:hAnsi="TimesNewRomanPSMT"/>
          <w:sz w:val="24"/>
        </w:rPr>
        <w:t>possibilita</w:t>
      </w:r>
      <w:proofErr w:type="spellEnd"/>
      <w:r>
        <w:rPr>
          <w:rFonts w:ascii="TimesNewRomanPSMT" w:hAnsi="TimesNewRomanPSMT"/>
          <w:sz w:val="24"/>
        </w:rPr>
        <w:t>̀ di interpretazioni soggettive e assicuri un trattamento equo nei confronti di tutti i soggetti richiedenti.” E che alla luce di queste motivaz</w:t>
      </w:r>
      <w:r>
        <w:rPr>
          <w:rFonts w:ascii="TimesNewRomanPSMT" w:hAnsi="TimesNewRomanPSMT"/>
          <w:sz w:val="24"/>
        </w:rPr>
        <w:t xml:space="preserve">ioni, “tenuto conto anche che la fase emergenziale è ancora in atto, si propone, in coerenza con gli obiettivi che si intendevano perseguire con l’articolo 4 della L.P. 3/2020 - fornire un aiuto straordinario per il contrasto alla diffusione del Covid-19 </w:t>
      </w:r>
      <w:r>
        <w:rPr>
          <w:rFonts w:ascii="TimesNewRomanPSMT" w:hAnsi="TimesNewRomanPSMT"/>
          <w:sz w:val="24"/>
        </w:rPr>
        <w:t xml:space="preserve">e per la promozione della </w:t>
      </w:r>
      <w:proofErr w:type="spellStart"/>
      <w:r>
        <w:rPr>
          <w:rFonts w:ascii="TimesNewRomanPSMT" w:hAnsi="TimesNewRomanPSMT"/>
          <w:sz w:val="24"/>
        </w:rPr>
        <w:t>competitivita</w:t>
      </w:r>
      <w:proofErr w:type="spellEnd"/>
      <w:r>
        <w:rPr>
          <w:rFonts w:ascii="TimesNewRomanPSMT" w:hAnsi="TimesNewRomanPSMT"/>
          <w:sz w:val="24"/>
        </w:rPr>
        <w:t xml:space="preserve">̀ del sistema agricolo trentino –, e fermo restando quanto </w:t>
      </w:r>
      <w:proofErr w:type="spellStart"/>
      <w:r>
        <w:rPr>
          <w:rFonts w:ascii="TimesNewRomanPSMT" w:hAnsi="TimesNewRomanPSMT"/>
          <w:sz w:val="24"/>
        </w:rPr>
        <w:t>gia</w:t>
      </w:r>
      <w:proofErr w:type="spellEnd"/>
      <w:r>
        <w:rPr>
          <w:rFonts w:ascii="TimesNewRomanPSMT" w:hAnsi="TimesNewRomanPSMT"/>
          <w:sz w:val="24"/>
        </w:rPr>
        <w:t>̀ stabilito dalle succitate deliberazioni, di considerare l’acquisto, il noleggio e l’affitto di carri raccolta e di pedane semoventi come misure che posso</w:t>
      </w:r>
      <w:r>
        <w:rPr>
          <w:rFonts w:ascii="TimesNewRomanPSMT" w:hAnsi="TimesNewRomanPSMT"/>
          <w:sz w:val="24"/>
        </w:rPr>
        <w:t xml:space="preserve">no garantire una miglior organizzazione delle operazioni di campagna nell’ambito dell’azienda e, in particolare, assicurare </w:t>
      </w:r>
      <w:proofErr w:type="spellStart"/>
      <w:r>
        <w:rPr>
          <w:rFonts w:ascii="TimesNewRomanPSMT" w:hAnsi="TimesNewRomanPSMT"/>
          <w:sz w:val="24"/>
        </w:rPr>
        <w:t>piu</w:t>
      </w:r>
      <w:proofErr w:type="spellEnd"/>
      <w:r>
        <w:rPr>
          <w:rFonts w:ascii="TimesNewRomanPSMT" w:hAnsi="TimesNewRomanPSMT"/>
          <w:sz w:val="24"/>
        </w:rPr>
        <w:t>̀ elevati livelli di sicurezza sul luogo di lavoro, un maggiore distanziamento tra gli addetti e concorrere al contenimento della</w:t>
      </w:r>
      <w:r>
        <w:rPr>
          <w:rFonts w:ascii="TimesNewRomanPSMT" w:hAnsi="TimesNewRomanPSMT"/>
          <w:sz w:val="24"/>
        </w:rPr>
        <w:t xml:space="preserve"> diffusione del Covid-19.”</w:t>
      </w:r>
    </w:p>
    <w:p w14:paraId="4B345E33" w14:textId="77777777" w:rsidR="009445D8" w:rsidRDefault="00741976">
      <w:pPr>
        <w:pStyle w:val="Corpotesto"/>
        <w:jc w:val="both"/>
      </w:pPr>
      <w:r>
        <w:rPr>
          <w:rFonts w:ascii="TimesNewRomanPSMT" w:hAnsi="TimesNewRomanPSMT"/>
          <w:sz w:val="24"/>
        </w:rPr>
        <w:t>La delibera si conclude sottolineando che “alla luce della particolare situazione di emergenza e dei tempi stretti per la chiusura dei procedimenti cui si tratta, si prescinde dall’acquisizione preventiva dei pareri di staff di c</w:t>
      </w:r>
      <w:r>
        <w:rPr>
          <w:rFonts w:ascii="TimesNewRomanPSMT" w:hAnsi="TimesNewRomanPSMT"/>
          <w:sz w:val="24"/>
        </w:rPr>
        <w:t>ui alla deliberazione della Giunta provinciale n. 6/2016 demandando tale esame ad avvenuta approvazione del presente provvedimento.”</w:t>
      </w:r>
    </w:p>
    <w:p w14:paraId="330EA352" w14:textId="77777777" w:rsidR="009445D8" w:rsidRDefault="00741976">
      <w:pPr>
        <w:pStyle w:val="Corpotesto"/>
        <w:jc w:val="both"/>
      </w:pPr>
      <w:r>
        <w:rPr>
          <w:rFonts w:ascii="Times New Roman" w:hAnsi="Times New Roman"/>
          <w:sz w:val="24"/>
        </w:rPr>
        <w:t xml:space="preserve">Basta questa puntuale disamina della sequenza degli atti amministrativi per evidenziare un percorso curioso e che </w:t>
      </w:r>
      <w:r>
        <w:rPr>
          <w:rFonts w:ascii="Times New Roman" w:hAnsi="Times New Roman"/>
          <w:sz w:val="24"/>
        </w:rPr>
        <w:t>solleva più di una perplessità, a partire dall’ardito riconoscimento dei carri raccolta come strumento atto a ridurre la diffusione del Covid-19, ma anche sulla natura ex post dello stesso in quanto assunto a domande già depositate, come pure sulla curiosa</w:t>
      </w:r>
      <w:r>
        <w:rPr>
          <w:rFonts w:ascii="Times New Roman" w:hAnsi="Times New Roman"/>
          <w:sz w:val="24"/>
        </w:rPr>
        <w:t xml:space="preserve"> riapertura dei termini per soli 9 giorni;</w:t>
      </w:r>
    </w:p>
    <w:p w14:paraId="539C3DA1" w14:textId="77777777" w:rsidR="009445D8" w:rsidRDefault="00741976">
      <w:pPr>
        <w:pStyle w:val="Corpotesto"/>
        <w:jc w:val="both"/>
        <w:rPr>
          <w:rFonts w:ascii="Times New Roman" w:hAnsi="Times New Roman"/>
          <w:sz w:val="24"/>
        </w:rPr>
      </w:pPr>
      <w:r>
        <w:rPr>
          <w:rFonts w:ascii="TimesNewRomanPSMT" w:hAnsi="TimesNewRomanPSMT"/>
          <w:sz w:val="24"/>
        </w:rPr>
        <w:t xml:space="preserve">Tutto ciò premesso, </w:t>
      </w:r>
    </w:p>
    <w:p w14:paraId="2BF53636" w14:textId="77777777" w:rsidR="009445D8" w:rsidRDefault="00741976">
      <w:pPr>
        <w:pStyle w:val="Corpotes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NewRomanPSMT" w:hAnsi="TimesNewRomanPSMT"/>
          <w:b/>
          <w:bCs/>
          <w:sz w:val="24"/>
        </w:rPr>
        <w:t>si interroga la Giunta provinciale per sapere</w:t>
      </w:r>
    </w:p>
    <w:p w14:paraId="792D7E98" w14:textId="77777777" w:rsidR="009445D8" w:rsidRDefault="0074197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chi ha firmato il parere di regolarità tecnica della delibera della Giunta provinciale 2286/2020; </w:t>
      </w:r>
    </w:p>
    <w:p w14:paraId="615E8A46" w14:textId="77777777" w:rsidR="009445D8" w:rsidRDefault="0074197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>se dopo l’approvazione della deliberazione 2286</w:t>
      </w:r>
      <w:r>
        <w:rPr>
          <w:rFonts w:ascii="TimesNewRomanPSMT" w:hAnsi="TimesNewRomanPSMT"/>
          <w:color w:val="000000"/>
          <w:sz w:val="24"/>
        </w:rPr>
        <w:t xml:space="preserve">/2020 sono stati acquisiti i pareri di staff, come previsto dalla deliberazione della Giunta provinciale 6/2016; </w:t>
      </w:r>
    </w:p>
    <w:p w14:paraId="02EB7F6B" w14:textId="77777777" w:rsidR="009445D8" w:rsidRDefault="0074197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se si, elencare quali pareri sono stati acquisiti e l’esito degli stessi; </w:t>
      </w:r>
    </w:p>
    <w:p w14:paraId="1F83D323" w14:textId="77777777" w:rsidR="009445D8" w:rsidRDefault="0074197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quante domande di contributo per carri raccolta sono pervenute; </w:t>
      </w:r>
    </w:p>
    <w:p w14:paraId="1F47A017" w14:textId="77777777" w:rsidR="009445D8" w:rsidRDefault="0074197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>qu</w:t>
      </w:r>
      <w:r>
        <w:rPr>
          <w:rFonts w:ascii="TimesNewRomanPSMT" w:hAnsi="TimesNewRomanPSMT"/>
          <w:color w:val="000000"/>
          <w:sz w:val="24"/>
        </w:rPr>
        <w:t xml:space="preserve">ante di queste domande sono state accolte e quante respinte; </w:t>
      </w:r>
    </w:p>
    <w:p w14:paraId="19D54995" w14:textId="77777777" w:rsidR="009445D8" w:rsidRDefault="0074197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da che data a che data sono pervenute le domande di contributo aventi ad oggetto carri raccolta; </w:t>
      </w:r>
    </w:p>
    <w:p w14:paraId="26748796" w14:textId="77777777" w:rsidR="009445D8" w:rsidRDefault="0074197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lastRenderedPageBreak/>
        <w:t xml:space="preserve">qual è l’ammontare complessivo dei contributi erogati per finanziare domande di </w:t>
      </w:r>
      <w:r>
        <w:rPr>
          <w:rFonts w:ascii="TimesNewRomanPSMT" w:hAnsi="TimesNewRomanPSMT"/>
          <w:color w:val="000000"/>
          <w:sz w:val="24"/>
        </w:rPr>
        <w:t>contributo aventi ad oggetto carri raccolta.</w:t>
      </w:r>
    </w:p>
    <w:p w14:paraId="5F8250A5" w14:textId="77777777" w:rsidR="009445D8" w:rsidRDefault="009445D8">
      <w:pPr>
        <w:pStyle w:val="Corpotesto"/>
        <w:jc w:val="both"/>
        <w:rPr>
          <w:rFonts w:ascii="TimesNewRomanPSMT" w:hAnsi="TimesNewRomanPSMT"/>
          <w:color w:val="000000"/>
          <w:sz w:val="24"/>
        </w:rPr>
      </w:pPr>
    </w:p>
    <w:p w14:paraId="255CAAE7" w14:textId="77777777" w:rsidR="009445D8" w:rsidRDefault="00741976">
      <w:pPr>
        <w:pStyle w:val="Corpotes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A norma di regolamento si chiede risposta scritta. </w:t>
      </w:r>
    </w:p>
    <w:p w14:paraId="6F15150A" w14:textId="77777777" w:rsidR="009445D8" w:rsidRDefault="00741976">
      <w:pPr>
        <w:pStyle w:val="Corpotesto"/>
        <w:jc w:val="both"/>
      </w:pP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</w:p>
    <w:p w14:paraId="16D51885" w14:textId="77777777" w:rsidR="009445D8" w:rsidRDefault="00741976">
      <w:pPr>
        <w:pStyle w:val="Corpotes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r>
        <w:rPr>
          <w:rFonts w:ascii="Times New Roman" w:hAnsi="Times New Roman"/>
          <w:i/>
          <w:iCs/>
          <w:color w:val="222222"/>
          <w:sz w:val="24"/>
          <w:szCs w:val="24"/>
        </w:rPr>
        <w:tab/>
      </w:r>
      <w:proofErr w:type="spellStart"/>
      <w:r>
        <w:rPr>
          <w:rFonts w:ascii="Times New Roman" w:hAnsi="Times New Roman"/>
          <w:i/>
          <w:iCs/>
          <w:color w:val="222222"/>
          <w:sz w:val="24"/>
          <w:szCs w:val="24"/>
        </w:rPr>
        <w:t>cons</w:t>
      </w:r>
      <w:proofErr w:type="spellEnd"/>
      <w:r>
        <w:rPr>
          <w:rFonts w:ascii="Times New Roman" w:hAnsi="Times New Roman"/>
          <w:i/>
          <w:iCs/>
          <w:color w:val="222222"/>
          <w:sz w:val="24"/>
          <w:szCs w:val="24"/>
        </w:rPr>
        <w:t>. Alessio Manica</w:t>
      </w:r>
    </w:p>
    <w:p w14:paraId="081A71C6" w14:textId="77777777" w:rsidR="009445D8" w:rsidRDefault="009445D8">
      <w:pPr>
        <w:pStyle w:val="Corpotesto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798B6908" w14:textId="77777777" w:rsidR="009445D8" w:rsidRDefault="009445D8">
      <w:pPr>
        <w:pStyle w:val="Corpotesto"/>
        <w:jc w:val="both"/>
      </w:pPr>
    </w:p>
    <w:sectPr w:rsidR="009445D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01B67" w14:textId="77777777" w:rsidR="00741976" w:rsidRDefault="00741976">
      <w:pPr>
        <w:spacing w:after="0" w:line="240" w:lineRule="auto"/>
      </w:pPr>
      <w:r>
        <w:separator/>
      </w:r>
    </w:p>
  </w:endnote>
  <w:endnote w:type="continuationSeparator" w:id="0">
    <w:p w14:paraId="1218FDE5" w14:textId="77777777" w:rsidR="00741976" w:rsidRDefault="0074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﷽﷽﷽﷽﷽﷽﷽﷽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8CA4D" w14:textId="77777777" w:rsidR="009445D8" w:rsidRDefault="00741976">
    <w:pPr>
      <w:pStyle w:val="Pidipagina"/>
      <w:spacing w:after="0" w:line="240" w:lineRule="auto"/>
      <w:jc w:val="center"/>
    </w:pPr>
    <w:r>
      <w:rPr>
        <w:noProof/>
      </w:rPr>
      <w:drawing>
        <wp:inline distT="0" distB="0" distL="0" distR="0" wp14:anchorId="0A9D605C" wp14:editId="52865016">
          <wp:extent cx="364490" cy="342900"/>
          <wp:effectExtent l="0" t="0" r="0" b="0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6" r="-15" b="-16"/>
                  <a:stretch>
                    <a:fillRect/>
                  </a:stretch>
                </pic:blipFill>
                <pic:spPr bwMode="auto">
                  <a:xfrm>
                    <a:off x="0" y="0"/>
                    <a:ext cx="36449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5C91C" w14:textId="77777777" w:rsidR="009445D8" w:rsidRDefault="00741976">
    <w:pPr>
      <w:pStyle w:val="Pidipagina"/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Vicolo della </w:t>
    </w:r>
    <w:proofErr w:type="spellStart"/>
    <w:r>
      <w:rPr>
        <w:rFonts w:ascii="Times New Roman" w:hAnsi="Times New Roman"/>
        <w:sz w:val="18"/>
        <w:szCs w:val="18"/>
      </w:rPr>
      <w:t>Sat</w:t>
    </w:r>
    <w:proofErr w:type="spellEnd"/>
    <w:r>
      <w:rPr>
        <w:rFonts w:ascii="Times New Roman" w:hAnsi="Times New Roman"/>
        <w:sz w:val="18"/>
        <w:szCs w:val="18"/>
      </w:rPr>
      <w:t>, 10 – 38122 TRENTO</w:t>
    </w:r>
  </w:p>
  <w:p w14:paraId="4161088B" w14:textId="77777777" w:rsidR="009445D8" w:rsidRDefault="00741976">
    <w:pPr>
      <w:pStyle w:val="Pidipagina"/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Tel. 0461 227340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8EE97" w14:textId="77777777" w:rsidR="00741976" w:rsidRDefault="00741976">
      <w:pPr>
        <w:spacing w:after="0" w:line="240" w:lineRule="auto"/>
      </w:pPr>
      <w:r>
        <w:separator/>
      </w:r>
    </w:p>
  </w:footnote>
  <w:footnote w:type="continuationSeparator" w:id="0">
    <w:p w14:paraId="7EF88E56" w14:textId="77777777" w:rsidR="00741976" w:rsidRDefault="0074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C5F03" w14:textId="77777777" w:rsidR="009445D8" w:rsidRDefault="00741976">
    <w:pPr>
      <w:pStyle w:val="Intestazione"/>
      <w:jc w:val="center"/>
    </w:pPr>
    <w:r>
      <w:rPr>
        <w:noProof/>
      </w:rPr>
      <w:drawing>
        <wp:inline distT="0" distB="0" distL="0" distR="0" wp14:anchorId="272681BF" wp14:editId="0B4C5674">
          <wp:extent cx="360045" cy="567055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14" r="-21" b="-14"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5D0D4" w14:textId="77777777" w:rsidR="009445D8" w:rsidRDefault="00741976">
    <w:pPr>
      <w:pStyle w:val="Intestazione"/>
      <w:spacing w:after="0" w:line="240" w:lineRule="auto"/>
      <w:jc w:val="center"/>
    </w:pPr>
    <w:r>
      <w:rPr>
        <w:rFonts w:ascii="Times New Roman" w:hAnsi="Times New Roman"/>
      </w:rPr>
      <w:t>C</w:t>
    </w:r>
    <w:r>
      <w:rPr>
        <w:rFonts w:ascii="Times New Roman" w:hAnsi="Times New Roman"/>
        <w:sz w:val="16"/>
        <w:szCs w:val="16"/>
      </w:rPr>
      <w:t>ONSIGLIO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z w:val="16"/>
        <w:szCs w:val="16"/>
      </w:rPr>
      <w:t>DELLA</w:t>
    </w:r>
    <w:r>
      <w:rPr>
        <w:rFonts w:ascii="Times New Roman" w:hAnsi="Times New Roman"/>
      </w:rPr>
      <w:t xml:space="preserve"> P</w:t>
    </w:r>
    <w:r>
      <w:rPr>
        <w:rFonts w:ascii="Times New Roman" w:hAnsi="Times New Roman"/>
        <w:sz w:val="16"/>
        <w:szCs w:val="16"/>
      </w:rPr>
      <w:t>ROVINCIA</w:t>
    </w:r>
    <w:r>
      <w:rPr>
        <w:rFonts w:ascii="Times New Roman" w:hAnsi="Times New Roman"/>
      </w:rPr>
      <w:t xml:space="preserve"> A</w:t>
    </w:r>
    <w:r>
      <w:rPr>
        <w:rFonts w:ascii="Times New Roman" w:hAnsi="Times New Roman"/>
        <w:sz w:val="16"/>
        <w:szCs w:val="16"/>
      </w:rPr>
      <w:t>UTONOMA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z w:val="16"/>
        <w:szCs w:val="16"/>
      </w:rPr>
      <w:t>DI</w:t>
    </w:r>
    <w:r>
      <w:rPr>
        <w:rFonts w:ascii="Times New Roman" w:hAnsi="Times New Roman"/>
      </w:rPr>
      <w:t xml:space="preserve"> T</w:t>
    </w:r>
    <w:r>
      <w:rPr>
        <w:rFonts w:ascii="Times New Roman" w:hAnsi="Times New Roman"/>
        <w:sz w:val="16"/>
        <w:szCs w:val="16"/>
      </w:rPr>
      <w:t>RENTO</w:t>
    </w:r>
  </w:p>
  <w:p w14:paraId="6FC92D94" w14:textId="77777777" w:rsidR="009445D8" w:rsidRDefault="00741976">
    <w:pPr>
      <w:pStyle w:val="Intestazione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Gruppo consiliare provinciale del Partito </w:t>
    </w:r>
    <w:r>
      <w:rPr>
        <w:rFonts w:ascii="Times New Roman" w:hAnsi="Times New Roman"/>
        <w:i/>
        <w:sz w:val="20"/>
        <w:szCs w:val="20"/>
      </w:rPr>
      <w:t>Democratico del Trentino</w:t>
    </w:r>
  </w:p>
  <w:p w14:paraId="13E67B6F" w14:textId="77777777" w:rsidR="009445D8" w:rsidRDefault="009445D8">
    <w:pPr>
      <w:pStyle w:val="Intestazione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6440B"/>
    <w:multiLevelType w:val="multilevel"/>
    <w:tmpl w:val="21D8B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B57B1C"/>
    <w:multiLevelType w:val="multilevel"/>
    <w:tmpl w:val="73BC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D8"/>
    <w:rsid w:val="00205B3F"/>
    <w:rsid w:val="00741976"/>
    <w:rsid w:val="0094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7A9027"/>
  <w15:docId w15:val="{0A992396-57DC-B84C-9807-3DE26F13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itolo1">
    <w:name w:val="heading 1"/>
    <w:basedOn w:val="Titolo"/>
    <w:uiPriority w:val="9"/>
    <w:qFormat/>
    <w:pPr>
      <w:outlineLvl w:val="0"/>
    </w:pPr>
    <w:rPr>
      <w:rFonts w:ascii="Liberation Serif" w:eastAsia="Songti SC" w:hAnsi="Liberation Serif" w:cs="Arial Unicode MS"/>
      <w:b/>
      <w:bCs/>
      <w:sz w:val="48"/>
      <w:szCs w:val="48"/>
    </w:rPr>
  </w:style>
  <w:style w:type="paragraph" w:styleId="Titolo2">
    <w:name w:val="heading 2"/>
    <w:basedOn w:val="Titolo"/>
    <w:uiPriority w:val="9"/>
    <w:semiHidden/>
    <w:unhideWhenUsed/>
    <w:qFormat/>
    <w:pPr>
      <w:spacing w:before="200"/>
      <w:outlineLvl w:val="1"/>
    </w:pPr>
    <w:rPr>
      <w:rFonts w:ascii="Liberation Serif" w:eastAsia="Songti SC" w:hAnsi="Liberation Serif" w:cs="Arial Unicode M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sz w:val="22"/>
      <w:szCs w:val="22"/>
    </w:rPr>
  </w:style>
  <w:style w:type="character" w:customStyle="1" w:styleId="PidipaginaCarattere">
    <w:name w:val="Piè di pagina Carattere"/>
    <w:qFormat/>
    <w:rPr>
      <w:sz w:val="22"/>
      <w:szCs w:val="22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TestonormaleCarattere">
    <w:name w:val="Testo normale Carattere"/>
    <w:qFormat/>
    <w:rPr>
      <w:sz w:val="22"/>
      <w:szCs w:val="21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qFormat/>
    <w:pPr>
      <w:spacing w:after="0" w:line="24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interrogazione_PDT</dc:title>
  <dc:subject/>
  <dc:creator>adele gerardi</dc:creator>
  <dc:description/>
  <cp:lastModifiedBy>adele gerardi</cp:lastModifiedBy>
  <cp:revision>2</cp:revision>
  <dcterms:created xsi:type="dcterms:W3CDTF">2021-04-21T13:45:00Z</dcterms:created>
  <dcterms:modified xsi:type="dcterms:W3CDTF">2021-04-21T13:45:00Z</dcterms:modified>
  <dc:language>it-IT</dc:language>
</cp:coreProperties>
</file>