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media/image3.jpeg" ContentType="image/jpe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BoldMT" w:hAnsi="Arial-BoldMT"/>
          <w:b/>
          <w:b/>
          <w:sz w:val="28"/>
        </w:rPr>
      </w:pPr>
      <w:r>
        <w:rPr>
          <w:rFonts w:ascii="Arial-BoldMT" w:hAnsi="Arial-BoldMT"/>
          <w:b/>
          <w:sz w:val="28"/>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Ill.mo Signor</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Walter Kaswalder</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PRESIDENTE </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Consiglio della Provincia Autonoma di Trento</w:t>
      </w:r>
    </w:p>
    <w:p>
      <w:pPr>
        <w:pStyle w:val="Normal"/>
        <w:spacing w:lineRule="auto" w:line="240" w:before="0" w:after="0"/>
        <w:jc w:val="right"/>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SEDE</w:t>
      </w:r>
    </w:p>
    <w:p>
      <w:pPr>
        <w:pStyle w:val="Normal"/>
        <w:spacing w:lineRule="auto" w:line="240" w:before="0" w:after="0"/>
        <w:jc w:val="right"/>
        <w:rPr>
          <w:rFonts w:ascii="Arial-BoldMT" w:hAnsi="Arial-BoldMT" w:cs="Times New Roman"/>
          <w:b/>
          <w:b/>
          <w:sz w:val="28"/>
          <w:szCs w:val="24"/>
        </w:rPr>
      </w:pPr>
      <w:r>
        <w:rPr>
          <w:rFonts w:cs="Times New Roman" w:ascii="Arial-BoldMT" w:hAnsi="Arial-BoldMT"/>
          <w:b/>
          <w:sz w:val="28"/>
          <w:szCs w:val="24"/>
        </w:rPr>
      </w:r>
    </w:p>
    <w:p>
      <w:pPr>
        <w:pStyle w:val="Normal"/>
        <w:spacing w:lineRule="auto" w:line="240" w:before="0" w:after="0"/>
        <w:jc w:val="left"/>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spacing w:lineRule="auto" w:line="240" w:before="0" w:after="0"/>
        <w:jc w:val="left"/>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Trento, 10 dicembre 2019</w:t>
      </w:r>
    </w:p>
    <w:p>
      <w:pPr>
        <w:pStyle w:val="Normal"/>
        <w:rPr>
          <w:rFonts w:ascii="Arial-BoldMT" w:hAnsi="Arial-BoldMT"/>
          <w:b/>
          <w:b/>
          <w:sz w:val="28"/>
        </w:rPr>
      </w:pPr>
      <w:r>
        <w:rPr>
          <w:rFonts w:ascii="Arial-BoldMT" w:hAnsi="Arial-BoldMT"/>
          <w:b/>
          <w:sz w:val="28"/>
        </w:rPr>
      </w:r>
    </w:p>
    <w:p>
      <w:pPr>
        <w:pStyle w:val="Normal"/>
        <w:spacing w:lineRule="auto" w:line="240" w:before="0" w:after="0"/>
        <w:jc w:val="center"/>
        <w:rPr>
          <w:rFonts w:ascii="Times New Roman" w:hAnsi="Times New Roman"/>
          <w:b/>
          <w:b/>
          <w:bCs/>
          <w:i/>
          <w:i/>
          <w:iCs/>
          <w:sz w:val="24"/>
          <w:szCs w:val="24"/>
        </w:rPr>
      </w:pPr>
      <w:bookmarkStart w:id="0" w:name="__DdeLink__542_4152026233"/>
      <w:r>
        <w:rPr>
          <w:rFonts w:cs="Times New Roman" w:ascii="Times New Roman" w:hAnsi="Times New Roman"/>
          <w:b/>
          <w:bCs/>
          <w:i/>
          <w:iCs/>
          <w:sz w:val="24"/>
          <w:szCs w:val="24"/>
        </w:rPr>
        <w:t>Proposta di ordine del giorno ai disegni di legge</w:t>
      </w:r>
      <w:r>
        <w:rPr>
          <w:rFonts w:ascii="Times New Roman" w:hAnsi="Times New Roman"/>
          <w:b/>
          <w:bCs/>
          <w:i/>
          <w:iCs/>
          <w:sz w:val="24"/>
          <w:szCs w:val="24"/>
        </w:rPr>
        <w:t xml:space="preserve"> </w:t>
      </w:r>
    </w:p>
    <w:p>
      <w:pPr>
        <w:pStyle w:val="Normal"/>
        <w:spacing w:lineRule="auto" w:line="240" w:before="0" w:after="0"/>
        <w:jc w:val="both"/>
        <w:rPr>
          <w:rFonts w:ascii="Times New Roman" w:hAnsi="Times New Roman"/>
          <w:b/>
          <w:b/>
          <w:bCs/>
          <w:i w:val="false"/>
          <w:i w:val="false"/>
          <w:iCs w:val="false"/>
          <w:sz w:val="24"/>
          <w:szCs w:val="24"/>
        </w:rPr>
      </w:pPr>
      <w:r>
        <w:rPr>
          <w:rFonts w:ascii="Times New Roman" w:hAnsi="Times New Roman"/>
          <w:b/>
          <w:bCs/>
          <w:i w:val="false"/>
          <w:iCs w:val="false"/>
          <w:sz w:val="24"/>
          <w:szCs w:val="24"/>
        </w:rPr>
      </w:r>
    </w:p>
    <w:p>
      <w:pPr>
        <w:pStyle w:val="Normal"/>
        <w:spacing w:lineRule="auto" w:line="240" w:before="0" w:after="0"/>
        <w:jc w:val="center"/>
        <w:rPr>
          <w:rFonts w:ascii="Times New Roman" w:hAnsi="Times New Roman"/>
          <w:b/>
          <w:b/>
          <w:bCs/>
          <w:i w:val="false"/>
          <w:i w:val="false"/>
          <w:iCs w:val="false"/>
          <w:sz w:val="24"/>
          <w:szCs w:val="24"/>
        </w:rPr>
      </w:pPr>
      <w:r>
        <w:rPr>
          <w:rFonts w:ascii="Times New Roman" w:hAnsi="Times New Roman"/>
          <w:b/>
          <w:bCs/>
          <w:i w:val="false"/>
          <w:iCs w:val="false"/>
          <w:sz w:val="24"/>
          <w:szCs w:val="24"/>
        </w:rPr>
        <w:t xml:space="preserve">11 novembre 2019, n. 36 </w:t>
      </w:r>
    </w:p>
    <w:p>
      <w:pPr>
        <w:pStyle w:val="Normal"/>
        <w:spacing w:lineRule="auto" w:line="240" w:before="0" w:after="0"/>
        <w:jc w:val="center"/>
        <w:rPr>
          <w:rFonts w:ascii="Times New Roman" w:hAnsi="Times New Roman"/>
          <w:b/>
          <w:b/>
          <w:bCs/>
          <w:i w:val="false"/>
          <w:i w:val="false"/>
          <w:iCs w:val="false"/>
          <w:sz w:val="24"/>
          <w:szCs w:val="24"/>
        </w:rPr>
      </w:pPr>
      <w:r>
        <w:rPr>
          <w:rFonts w:ascii="Times New Roman" w:hAnsi="Times New Roman"/>
          <w:b/>
          <w:bCs/>
          <w:i w:val="false"/>
          <w:iCs w:val="false"/>
          <w:sz w:val="24"/>
          <w:szCs w:val="24"/>
        </w:rPr>
        <w:t>Legge collegata alla manovra di bilancio provinciale 2020</w:t>
      </w:r>
    </w:p>
    <w:p>
      <w:pPr>
        <w:pStyle w:val="Normal"/>
        <w:spacing w:lineRule="auto" w:line="240" w:before="0" w:after="0"/>
        <w:jc w:val="center"/>
        <w:rPr>
          <w:rFonts w:ascii="Times New Roman" w:hAnsi="Times New Roman"/>
          <w:b/>
          <w:b/>
          <w:bCs/>
          <w:i w:val="false"/>
          <w:i w:val="false"/>
          <w:iCs w:val="false"/>
          <w:sz w:val="24"/>
          <w:szCs w:val="24"/>
        </w:rPr>
      </w:pPr>
      <w:r>
        <w:rPr>
          <w:rFonts w:ascii="Times New Roman" w:hAnsi="Times New Roman"/>
          <w:b/>
          <w:bCs/>
          <w:i w:val="false"/>
          <w:iCs w:val="false"/>
          <w:sz w:val="24"/>
          <w:szCs w:val="24"/>
        </w:rPr>
      </w:r>
    </w:p>
    <w:p>
      <w:pPr>
        <w:pStyle w:val="Normal"/>
        <w:spacing w:lineRule="auto" w:line="240" w:before="0" w:after="0"/>
        <w:jc w:val="center"/>
        <w:rPr>
          <w:rFonts w:ascii="Times New Roman" w:hAnsi="Times New Roman"/>
          <w:b/>
          <w:b/>
          <w:bCs/>
          <w:i w:val="false"/>
          <w:i w:val="false"/>
          <w:iCs w:val="false"/>
          <w:sz w:val="24"/>
          <w:szCs w:val="24"/>
        </w:rPr>
      </w:pPr>
      <w:r>
        <w:rPr>
          <w:rFonts w:ascii="Times New Roman" w:hAnsi="Times New Roman"/>
          <w:b/>
          <w:bCs/>
          <w:i w:val="false"/>
          <w:iCs w:val="false"/>
          <w:sz w:val="24"/>
          <w:szCs w:val="24"/>
        </w:rPr>
        <w:t>11 novembre 2019, n. 37</w:t>
      </w:r>
    </w:p>
    <w:p>
      <w:pPr>
        <w:pStyle w:val="Normal"/>
        <w:spacing w:lineRule="auto" w:line="240" w:before="0" w:after="0"/>
        <w:jc w:val="center"/>
        <w:rPr>
          <w:rFonts w:ascii="Times New Roman" w:hAnsi="Times New Roman"/>
          <w:b/>
          <w:b/>
          <w:bCs/>
          <w:i w:val="false"/>
          <w:i w:val="false"/>
          <w:iCs w:val="false"/>
          <w:sz w:val="24"/>
          <w:szCs w:val="24"/>
        </w:rPr>
      </w:pPr>
      <w:r>
        <w:rPr>
          <w:rFonts w:ascii="Times New Roman" w:hAnsi="Times New Roman"/>
          <w:b/>
          <w:bCs/>
          <w:i w:val="false"/>
          <w:iCs w:val="false"/>
          <w:sz w:val="24"/>
          <w:szCs w:val="24"/>
        </w:rPr>
        <w:t>Legge di stabilità provinciale 2020</w:t>
      </w:r>
    </w:p>
    <w:p>
      <w:pPr>
        <w:pStyle w:val="Normal"/>
        <w:spacing w:lineRule="auto" w:line="276" w:before="0" w:after="0"/>
        <w:jc w:val="both"/>
        <w:rPr>
          <w:rFonts w:ascii="Times New Roman" w:hAnsi="Times New Roman"/>
          <w:b/>
          <w:b/>
          <w:bCs/>
          <w:i w:val="false"/>
          <w:i w:val="false"/>
          <w:iCs w:val="false"/>
          <w:color w:val="000000"/>
          <w:sz w:val="24"/>
          <w:szCs w:val="24"/>
        </w:rPr>
      </w:pPr>
      <w:r>
        <w:rPr>
          <w:rFonts w:ascii="Times New Roman" w:hAnsi="Times New Roman"/>
          <w:b/>
          <w:bCs/>
          <w:i w:val="false"/>
          <w:iCs w:val="false"/>
          <w:color w:val="000000"/>
          <w:sz w:val="24"/>
          <w:szCs w:val="24"/>
        </w:rPr>
      </w:r>
    </w:p>
    <w:p>
      <w:pPr>
        <w:pStyle w:val="Normal"/>
        <w:spacing w:lineRule="auto" w:line="276" w:before="0" w:after="0"/>
        <w:jc w:val="both"/>
        <w:rPr>
          <w:rFonts w:ascii="Times New Roman" w:hAnsi="Times New Roman"/>
          <w:b/>
          <w:b/>
          <w:bCs/>
          <w:i w:val="false"/>
          <w:i w:val="false"/>
          <w:iCs w:val="false"/>
          <w:sz w:val="24"/>
          <w:szCs w:val="24"/>
        </w:rPr>
      </w:pPr>
      <w:r>
        <w:rPr>
          <w:rFonts w:ascii="Times New Roman" w:hAnsi="Times New Roman"/>
          <w:b/>
          <w:bCs/>
          <w:i w:val="false"/>
          <w:iCs w:val="false"/>
          <w:color w:val="000000"/>
          <w:sz w:val="24"/>
          <w:szCs w:val="24"/>
        </w:rPr>
        <w:t>11 novembre 2019, n. 38</w:t>
      </w:r>
    </w:p>
    <w:p>
      <w:pPr>
        <w:pStyle w:val="Normal"/>
        <w:spacing w:lineRule="auto" w:line="276" w:before="0" w:after="0"/>
        <w:jc w:val="both"/>
        <w:rPr>
          <w:rFonts w:ascii="Times New Roman" w:hAnsi="Times New Roman"/>
          <w:b/>
          <w:b/>
          <w:bCs/>
          <w:i w:val="false"/>
          <w:i w:val="false"/>
          <w:iCs w:val="false"/>
          <w:sz w:val="24"/>
          <w:szCs w:val="24"/>
        </w:rPr>
      </w:pPr>
      <w:r>
        <w:rPr>
          <w:rFonts w:ascii="Times New Roman" w:hAnsi="Times New Roman"/>
          <w:b/>
          <w:bCs/>
          <w:i w:val="false"/>
          <w:iCs w:val="false"/>
          <w:color w:val="000000"/>
          <w:sz w:val="24"/>
          <w:szCs w:val="24"/>
        </w:rPr>
        <w:t>Bilancio di previsione della Provincia autonoma di Trento per gli esercizi finanziari 2020-2022</w:t>
      </w:r>
    </w:p>
    <w:p>
      <w:pPr>
        <w:pStyle w:val="Normal"/>
        <w:spacing w:lineRule="auto" w:line="276" w:before="0" w:after="0"/>
        <w:jc w:val="both"/>
        <w:rPr>
          <w:rFonts w:ascii="Times New Roman" w:hAnsi="Times New Roman" w:eastAsia="Times New Roman" w:cs="Times New Roman"/>
          <w:b/>
          <w:b/>
          <w:bCs/>
          <w:i/>
          <w:i/>
          <w:iCs/>
          <w:caps w:val="false"/>
          <w:smallCaps w:val="false"/>
          <w:color w:val="000000"/>
          <w:spacing w:val="0"/>
          <w:sz w:val="24"/>
          <w:szCs w:val="24"/>
          <w:lang w:eastAsia="it-IT"/>
        </w:rPr>
      </w:pPr>
      <w:r>
        <w:rPr>
          <w:rFonts w:eastAsia="Times New Roman" w:cs="Times New Roman" w:ascii="Times New Roman" w:hAnsi="Times New Roman"/>
          <w:b/>
          <w:bCs/>
          <w:i/>
          <w:iCs/>
          <w:caps w:val="false"/>
          <w:smallCaps w:val="false"/>
          <w:color w:val="000000"/>
          <w:spacing w:val="0"/>
          <w:sz w:val="24"/>
          <w:szCs w:val="24"/>
          <w:lang w:eastAsia="it-IT"/>
        </w:rPr>
      </w:r>
    </w:p>
    <w:p>
      <w:pPr>
        <w:pStyle w:val="Normal"/>
        <w:spacing w:lineRule="auto" w:line="276" w:before="0" w:after="0"/>
        <w:jc w:val="both"/>
        <w:rPr>
          <w:rFonts w:ascii="Times New Roman" w:hAnsi="Times New Roman" w:eastAsia="Times New Roman" w:cs="Times New Roman"/>
          <w:b/>
          <w:b/>
          <w:bCs/>
          <w:i/>
          <w:i/>
          <w:iCs/>
          <w:caps w:val="false"/>
          <w:smallCaps w:val="false"/>
          <w:color w:val="000000"/>
          <w:spacing w:val="0"/>
          <w:sz w:val="24"/>
          <w:szCs w:val="24"/>
          <w:lang w:eastAsia="it-IT"/>
        </w:rPr>
      </w:pPr>
      <w:r>
        <w:rPr/>
      </w:r>
    </w:p>
    <w:p>
      <w:pPr>
        <w:pStyle w:val="Normal"/>
        <w:spacing w:lineRule="auto" w:line="276" w:before="0" w:after="0"/>
        <w:jc w:val="both"/>
        <w:rPr>
          <w:rFonts w:ascii="Times New Roman" w:hAnsi="Times New Roman" w:eastAsia="Times New Roman" w:cs="Times New Roman"/>
          <w:b/>
          <w:b/>
          <w:bCs/>
          <w:i/>
          <w:i/>
          <w:iCs/>
          <w:caps w:val="false"/>
          <w:smallCaps w:val="false"/>
          <w:color w:val="000000"/>
          <w:spacing w:val="0"/>
          <w:sz w:val="24"/>
          <w:szCs w:val="24"/>
          <w:lang w:eastAsia="it-IT"/>
        </w:rPr>
      </w:pPr>
      <w:r>
        <w:rPr>
          <w:rFonts w:eastAsia="Times New Roman" w:cs="Times New Roman" w:ascii="Times New Roman" w:hAnsi="Times New Roman"/>
          <w:b/>
          <w:bCs/>
          <w:i/>
          <w:iCs/>
          <w:caps w:val="false"/>
          <w:smallCaps w:val="false"/>
          <w:color w:val="000000"/>
          <w:spacing w:val="0"/>
          <w:sz w:val="24"/>
          <w:szCs w:val="24"/>
          <w:lang w:eastAsia="it-IT"/>
        </w:rPr>
      </w:r>
    </w:p>
    <w:p>
      <w:pPr>
        <w:pStyle w:val="Normal"/>
        <w:spacing w:lineRule="auto" w:line="276" w:before="0" w:after="0"/>
        <w:jc w:val="both"/>
        <w:rPr>
          <w:rFonts w:ascii="Times New Roman" w:hAnsi="Times New Roman" w:eastAsia="Times New Roman" w:cs="Times New Roman"/>
          <w:b/>
          <w:b/>
          <w:bCs/>
          <w:i/>
          <w:i/>
          <w:iCs/>
          <w:caps w:val="false"/>
          <w:smallCaps w:val="false"/>
          <w:color w:val="000000"/>
          <w:spacing w:val="0"/>
          <w:sz w:val="24"/>
          <w:szCs w:val="24"/>
          <w:lang w:eastAsia="it-IT"/>
        </w:rPr>
      </w:pPr>
      <w:r>
        <w:rPr>
          <w:rFonts w:eastAsia="Times New Roman" w:cs="Times New Roman" w:ascii="Times New Roman" w:hAnsi="Times New Roman"/>
          <w:b/>
          <w:bCs/>
          <w:i/>
          <w:iCs/>
          <w:caps w:val="false"/>
          <w:smallCaps w:val="false"/>
          <w:color w:val="000000"/>
          <w:spacing w:val="0"/>
          <w:sz w:val="24"/>
          <w:szCs w:val="24"/>
          <w:lang w:eastAsia="it-IT"/>
        </w:rPr>
      </w:r>
    </w:p>
    <w:p>
      <w:pPr>
        <w:pStyle w:val="Normal"/>
        <w:spacing w:lineRule="auto" w:line="276" w:before="0" w:after="0"/>
        <w:jc w:val="both"/>
        <w:rPr>
          <w:rFonts w:ascii="Times New Roman" w:hAnsi="Times New Roman" w:eastAsia="Times New Roman" w:cs="Times New Roman"/>
          <w:b/>
          <w:b/>
          <w:bCs/>
          <w:i/>
          <w:i/>
          <w:iCs/>
          <w:caps w:val="false"/>
          <w:smallCaps w:val="false"/>
          <w:color w:val="000000"/>
          <w:spacing w:val="0"/>
          <w:sz w:val="24"/>
          <w:szCs w:val="24"/>
          <w:lang w:eastAsia="it-IT"/>
        </w:rPr>
      </w:pPr>
      <w:r>
        <w:rPr>
          <w:rFonts w:eastAsia="Times New Roman" w:cs="Times New Roman" w:ascii="Times New Roman" w:hAnsi="Times New Roman"/>
          <w:b/>
          <w:bCs/>
          <w:i/>
          <w:iCs/>
          <w:caps w:val="false"/>
          <w:smallCaps w:val="false"/>
          <w:color w:val="000000"/>
          <w:spacing w:val="0"/>
          <w:sz w:val="24"/>
          <w:szCs w:val="24"/>
          <w:lang w:eastAsia="it-IT"/>
        </w:rPr>
        <w:t>Una società in salute</w:t>
      </w:r>
    </w:p>
    <w:p>
      <w:pPr>
        <w:pStyle w:val="Normal"/>
        <w:spacing w:lineRule="auto" w:line="276" w:before="0" w:after="0"/>
        <w:jc w:val="both"/>
        <w:rPr>
          <w:rFonts w:ascii="Times New Roman" w:hAnsi="Times New Roman" w:eastAsia="Times New Roman" w:cs="Times New Roman"/>
          <w:b/>
          <w:b/>
          <w:bCs/>
          <w:i/>
          <w:i/>
          <w:iCs/>
          <w:caps w:val="false"/>
          <w:smallCaps w:val="false"/>
          <w:color w:val="000000"/>
          <w:spacing w:val="0"/>
          <w:sz w:val="24"/>
          <w:szCs w:val="24"/>
          <w:lang w:eastAsia="it-IT"/>
        </w:rPr>
      </w:pPr>
      <w:r>
        <w:rPr>
          <w:rFonts w:eastAsia="Times New Roman" w:cs="Times New Roman" w:ascii="Times New Roman" w:hAnsi="Times New Roman"/>
          <w:b/>
          <w:bCs/>
          <w:i/>
          <w:iCs/>
          <w:caps w:val="false"/>
          <w:smallCaps w:val="false"/>
          <w:color w:val="000000"/>
          <w:spacing w:val="0"/>
          <w:sz w:val="24"/>
          <w:szCs w:val="24"/>
          <w:lang w:eastAsia="it-IT"/>
        </w:rPr>
      </w:r>
    </w:p>
    <w:p>
      <w:pPr>
        <w:pStyle w:val="Normal"/>
        <w:spacing w:lineRule="auto" w:line="276" w:before="0" w:after="0"/>
        <w:jc w:val="both"/>
        <w:rPr>
          <w:rFonts w:ascii="Times New Roman" w:hAnsi="Times New Roman" w:eastAsia="Times New Roman" w:cs="Times New Roman"/>
          <w:b/>
          <w:b/>
          <w:bCs/>
          <w:i/>
          <w:i/>
          <w:iCs/>
          <w:caps w:val="false"/>
          <w:smallCaps w:val="false"/>
          <w:color w:val="000000"/>
          <w:spacing w:val="0"/>
          <w:sz w:val="24"/>
          <w:szCs w:val="24"/>
          <w:lang w:eastAsia="it-IT"/>
        </w:rPr>
      </w:pPr>
      <w:r>
        <w:rPr>
          <w:rFonts w:eastAsia="Times New Roman" w:cs="Times New Roman" w:ascii="Times New Roman" w:hAnsi="Times New Roman"/>
          <w:b w:val="false"/>
          <w:bCs/>
          <w:i w:val="false"/>
          <w:iCs/>
          <w:caps w:val="false"/>
          <w:smallCaps w:val="false"/>
          <w:strike w:val="false"/>
          <w:dstrike w:val="false"/>
          <w:color w:val="000000"/>
          <w:spacing w:val="0"/>
          <w:sz w:val="24"/>
          <w:szCs w:val="24"/>
          <w:u w:val="none"/>
          <w:effect w:val="none"/>
          <w:lang w:eastAsia="it-IT"/>
        </w:rPr>
        <w:t>I cambiamenti demografici e sociali, la presenza di nuovi e più ampi bisogni, la crescita delle fragilità all’interno delle famiglie, i nuovi modelli organizzative, le continue scoperte scientifiche, le innovazioni tecnologiche in ambito medico ed assistenziale, sono soltanto alcuni dei punti di un lungo elenco che rappresenta l’evoluzione della nostra società e la necessità di adeguare il modello sanitario.</w:t>
      </w:r>
    </w:p>
    <w:p>
      <w:pPr>
        <w:pStyle w:val="Normal"/>
        <w:spacing w:lineRule="auto" w:line="276" w:before="0" w:after="0"/>
        <w:jc w:val="both"/>
        <w:rPr>
          <w:rFonts w:ascii="Times New Roman" w:hAnsi="Times New Roman" w:eastAsia="Times New Roman" w:cs="Times New Roman"/>
          <w:b/>
          <w:b/>
          <w:bCs/>
          <w:i/>
          <w:i/>
          <w:iCs/>
          <w:caps w:val="false"/>
          <w:smallCaps w:val="false"/>
          <w:strike w:val="false"/>
          <w:dstrike w:val="false"/>
          <w:color w:val="000000"/>
          <w:spacing w:val="0"/>
          <w:sz w:val="24"/>
          <w:szCs w:val="24"/>
          <w:u w:val="none"/>
          <w:effect w:val="none"/>
          <w:lang w:eastAsia="it-IT"/>
        </w:rPr>
      </w:pPr>
      <w:r>
        <w:rPr>
          <w:rFonts w:eastAsia="Times New Roman" w:cs="Times New Roman" w:ascii="Times New Roman" w:hAnsi="Times New Roman"/>
          <w:b w:val="false"/>
          <w:bCs/>
          <w:i w:val="false"/>
          <w:iCs/>
          <w:caps w:val="false"/>
          <w:smallCaps w:val="false"/>
          <w:strike w:val="false"/>
          <w:dstrike w:val="false"/>
          <w:color w:val="000000"/>
          <w:spacing w:val="0"/>
          <w:sz w:val="24"/>
          <w:szCs w:val="24"/>
          <w:u w:val="none"/>
          <w:effect w:val="none"/>
          <w:lang w:eastAsia="it-IT"/>
        </w:rPr>
        <w:t xml:space="preserve">La bontà di un modello organizzativo non deriva da una valutazione astratta, ma dalla capacità di garantire il raggiungimento degli obiettivi posti nel miglior modo possibile in un dato contesto. </w:t>
      </w:r>
    </w:p>
    <w:p>
      <w:pPr>
        <w:pStyle w:val="Normal"/>
        <w:spacing w:lineRule="auto" w:line="276" w:before="0" w:after="0"/>
        <w:jc w:val="both"/>
        <w:rPr>
          <w:rFonts w:ascii="Times New Roman" w:hAnsi="Times New Roman" w:eastAsia="Times New Roman" w:cs="Times New Roman"/>
          <w:b/>
          <w:b/>
          <w:bCs/>
          <w:i/>
          <w:i/>
          <w:iCs/>
          <w:caps w:val="false"/>
          <w:smallCaps w:val="false"/>
          <w:strike w:val="false"/>
          <w:dstrike w:val="false"/>
          <w:color w:val="000000"/>
          <w:spacing w:val="0"/>
          <w:sz w:val="24"/>
          <w:szCs w:val="24"/>
          <w:u w:val="none"/>
          <w:effect w:val="none"/>
          <w:lang w:eastAsia="it-IT"/>
        </w:rPr>
      </w:pPr>
      <w:r>
        <w:rPr>
          <w:rFonts w:eastAsia="Times New Roman" w:cs="Times New Roman" w:ascii="Times New Roman" w:hAnsi="Times New Roman"/>
          <w:b w:val="false"/>
          <w:bCs/>
          <w:i w:val="false"/>
          <w:iCs/>
          <w:caps w:val="false"/>
          <w:smallCaps w:val="false"/>
          <w:strike w:val="false"/>
          <w:dstrike w:val="false"/>
          <w:color w:val="000000"/>
          <w:spacing w:val="0"/>
          <w:sz w:val="24"/>
          <w:szCs w:val="24"/>
          <w:u w:val="none"/>
          <w:effect w:val="none"/>
          <w:lang w:eastAsia="it-IT"/>
        </w:rPr>
        <w:t xml:space="preserve">Ciò vale anche per l’ assistenza sanitaria, che si sviluppa in una società attraversata da grandi cambiamenti demografici, sociologici e tecnologici, i quali producono rapide evoluzioni nei bisogni di salute della popolazione, e di conseguenza nelle risposte tecnico-procedurali che possono essere messe in campo. </w:t>
      </w:r>
    </w:p>
    <w:p>
      <w:pPr>
        <w:pStyle w:val="Normal"/>
        <w:spacing w:lineRule="auto" w:line="276" w:before="0" w:after="0"/>
        <w:jc w:val="both"/>
        <w:rPr>
          <w:rFonts w:ascii="Times New Roman" w:hAnsi="Times New Roman" w:eastAsia="Times New Roman" w:cs="Times New Roman"/>
          <w:b/>
          <w:b/>
          <w:bCs/>
          <w:i/>
          <w:i/>
          <w:iCs/>
          <w:caps w:val="false"/>
          <w:smallCaps w:val="false"/>
          <w:strike w:val="false"/>
          <w:dstrike w:val="false"/>
          <w:color w:val="000000"/>
          <w:spacing w:val="0"/>
          <w:sz w:val="24"/>
          <w:szCs w:val="24"/>
          <w:u w:val="none"/>
          <w:effect w:val="none"/>
          <w:lang w:eastAsia="it-IT"/>
        </w:rPr>
      </w:pPr>
      <w:r>
        <w:rPr>
          <w:rFonts w:eastAsia="Times New Roman" w:cs="Times New Roman" w:ascii="Times New Roman" w:hAnsi="Times New Roman"/>
          <w:b w:val="false"/>
          <w:bCs/>
          <w:i w:val="false"/>
          <w:iCs/>
          <w:caps w:val="false"/>
          <w:smallCaps w:val="false"/>
          <w:strike w:val="false"/>
          <w:dstrike w:val="false"/>
          <w:color w:val="000000"/>
          <w:spacing w:val="0"/>
          <w:sz w:val="24"/>
          <w:szCs w:val="24"/>
          <w:u w:val="none"/>
          <w:effect w:val="none"/>
          <w:lang w:eastAsia="it-IT"/>
        </w:rPr>
        <w:t xml:space="preserve">In sanità, più che altrove, rimanere fermi equivale ad arretrare. </w:t>
      </w:r>
    </w:p>
    <w:p>
      <w:pPr>
        <w:pStyle w:val="Normal"/>
        <w:spacing w:lineRule="auto" w:line="276" w:before="0" w:after="0"/>
        <w:jc w:val="both"/>
        <w:rPr>
          <w:rFonts w:ascii="Times New Roman" w:hAnsi="Times New Roman" w:eastAsia="Times New Roman" w:cs="Times New Roman"/>
          <w:b/>
          <w:b/>
          <w:bCs/>
          <w:i/>
          <w:i/>
          <w:iCs/>
          <w:caps w:val="false"/>
          <w:smallCaps w:val="false"/>
          <w:strike w:val="false"/>
          <w:dstrike w:val="false"/>
          <w:color w:val="000000"/>
          <w:spacing w:val="0"/>
          <w:sz w:val="24"/>
          <w:szCs w:val="24"/>
          <w:u w:val="none"/>
          <w:effect w:val="none"/>
          <w:lang w:eastAsia="it-IT"/>
        </w:rPr>
      </w:pPr>
      <w:r>
        <w:rPr>
          <w:rFonts w:eastAsia="Times New Roman" w:cs="Times New Roman" w:ascii="Times New Roman" w:hAnsi="Times New Roman"/>
          <w:b w:val="false"/>
          <w:bCs/>
          <w:i w:val="false"/>
          <w:iCs/>
          <w:caps w:val="false"/>
          <w:smallCaps w:val="false"/>
          <w:strike w:val="false"/>
          <w:dstrike w:val="false"/>
          <w:color w:val="000000"/>
          <w:spacing w:val="0"/>
          <w:sz w:val="24"/>
          <w:szCs w:val="24"/>
          <w:u w:val="none"/>
          <w:effect w:val="none"/>
          <w:lang w:eastAsia="it-IT"/>
        </w:rPr>
        <w:t xml:space="preserve">L’ innovazione è quindi condizione necessaria per assicurare la costanza nella qualità e nell’appropriatezza dei servizi. </w:t>
      </w:r>
    </w:p>
    <w:p>
      <w:pPr>
        <w:pStyle w:val="Normal"/>
        <w:spacing w:lineRule="auto" w:line="276" w:before="0" w:after="0"/>
        <w:jc w:val="both"/>
        <w:rPr>
          <w:rFonts w:ascii="Times New Roman" w:hAnsi="Times New Roman" w:eastAsia="Times New Roman" w:cs="Times New Roman"/>
          <w:b/>
          <w:b/>
          <w:bCs/>
          <w:i/>
          <w:i/>
          <w:iCs/>
          <w:caps w:val="false"/>
          <w:smallCaps w:val="false"/>
          <w:strike w:val="false"/>
          <w:dstrike w:val="false"/>
          <w:color w:val="000000"/>
          <w:spacing w:val="0"/>
          <w:sz w:val="24"/>
          <w:szCs w:val="24"/>
          <w:u w:val="none"/>
          <w:effect w:val="none"/>
          <w:lang w:eastAsia="it-IT"/>
        </w:rPr>
      </w:pPr>
      <w:r>
        <w:rPr>
          <w:rFonts w:eastAsia="Times New Roman" w:cs="Times New Roman" w:ascii="Times New Roman" w:hAnsi="Times New Roman"/>
          <w:b w:val="false"/>
          <w:bCs/>
          <w:i w:val="false"/>
          <w:iCs/>
          <w:caps w:val="false"/>
          <w:smallCaps w:val="false"/>
          <w:strike w:val="false"/>
          <w:dstrike w:val="false"/>
          <w:color w:val="000000"/>
          <w:spacing w:val="0"/>
          <w:sz w:val="24"/>
          <w:szCs w:val="24"/>
          <w:u w:val="none"/>
          <w:effect w:val="none"/>
          <w:lang w:eastAsia="it-IT"/>
        </w:rPr>
        <w:t xml:space="preserve">Per questo nella rete ospedaliera si è superata l’idea di tanti ospedali generalisti sparsi per il Trentino (dove si rischiava di fare tutto ma con una qualità non elevata) e si è concentrata la complessità nelle strutture maggiori (perché in sanità casistica numerosa equivale a qualità), mentre la gestione del post acuto e della cronicità è gestita nelle strutture territoriali più piccole e vicine al domicilio dei pazienti. </w:t>
      </w:r>
    </w:p>
    <w:p>
      <w:pPr>
        <w:pStyle w:val="Normal"/>
        <w:spacing w:lineRule="auto" w:line="276" w:before="0" w:after="0"/>
        <w:jc w:val="both"/>
        <w:rPr>
          <w:rFonts w:ascii="Times New Roman" w:hAnsi="Times New Roman" w:eastAsia="Times New Roman" w:cs="Times New Roman"/>
          <w:b/>
          <w:b/>
          <w:bCs/>
          <w:i/>
          <w:i/>
          <w:iCs/>
          <w:caps w:val="false"/>
          <w:smallCaps w:val="false"/>
          <w:strike w:val="false"/>
          <w:dstrike w:val="false"/>
          <w:color w:val="000000"/>
          <w:spacing w:val="0"/>
          <w:sz w:val="24"/>
          <w:szCs w:val="24"/>
          <w:u w:val="none"/>
          <w:effect w:val="none"/>
          <w:lang w:eastAsia="it-IT"/>
        </w:rPr>
      </w:pPr>
      <w:r>
        <w:rPr>
          <w:rFonts w:eastAsia="Times New Roman" w:cs="Times New Roman" w:ascii="Times New Roman" w:hAnsi="Times New Roman"/>
          <w:b w:val="false"/>
          <w:bCs/>
          <w:i w:val="false"/>
          <w:iCs/>
          <w:caps w:val="false"/>
          <w:smallCaps w:val="false"/>
          <w:strike w:val="false"/>
          <w:dstrike w:val="false"/>
          <w:color w:val="000000"/>
          <w:spacing w:val="0"/>
          <w:sz w:val="24"/>
          <w:szCs w:val="24"/>
          <w:u w:val="none"/>
          <w:effect w:val="none"/>
          <w:lang w:eastAsia="it-IT"/>
        </w:rPr>
        <w:t xml:space="preserve">Si sono introdotte le cure intermedie quale spazio di presa in carico che si pone tra la dimissione ospedaliera e il rientro del paziente in una condizione di domiciliarità. Si è programmata la strutturazione di aggregazioni dei medici di medicina generale e si è puntato a valorizzare le professioni sanitarie come quella infermieristica. </w:t>
      </w:r>
    </w:p>
    <w:p>
      <w:pPr>
        <w:pStyle w:val="Normal"/>
        <w:spacing w:lineRule="auto" w:line="276" w:before="0" w:after="0"/>
        <w:jc w:val="both"/>
        <w:rPr>
          <w:rFonts w:ascii="Times New Roman" w:hAnsi="Times New Roman" w:eastAsia="Times New Roman" w:cs="Times New Roman"/>
          <w:b/>
          <w:b/>
          <w:bCs/>
          <w:i/>
          <w:i/>
          <w:iCs/>
          <w:caps w:val="false"/>
          <w:smallCaps w:val="false"/>
          <w:strike w:val="false"/>
          <w:dstrike w:val="false"/>
          <w:color w:val="000000"/>
          <w:spacing w:val="0"/>
          <w:sz w:val="24"/>
          <w:szCs w:val="24"/>
          <w:u w:val="none"/>
          <w:effect w:val="none"/>
          <w:lang w:eastAsia="it-IT"/>
        </w:rPr>
      </w:pPr>
      <w:r>
        <w:rPr>
          <w:rFonts w:eastAsia="Times New Roman" w:cs="Times New Roman" w:ascii="Times New Roman" w:hAnsi="Times New Roman"/>
          <w:b w:val="false"/>
          <w:bCs/>
          <w:i w:val="false"/>
          <w:iCs/>
          <w:caps w:val="false"/>
          <w:smallCaps w:val="false"/>
          <w:strike w:val="false"/>
          <w:dstrike w:val="false"/>
          <w:color w:val="000000"/>
          <w:spacing w:val="0"/>
          <w:sz w:val="24"/>
          <w:szCs w:val="24"/>
          <w:u w:val="none"/>
          <w:effect w:val="none"/>
          <w:lang w:eastAsia="it-IT"/>
        </w:rPr>
        <w:t xml:space="preserve">Sono solo alcuni esempi delle innovazioni che stanno caratterizzando la sanità trentina, e rappresentano l’obiettivo generale che la Provincia ha perseguito nel corso degli ultimi anni nella sua programmazione: garantire continuità nella presa in carico del paziente dentro e fuori l’ospedale e favorire ove possibile percorsi di cura preventivi, territoriali e integrati. </w:t>
      </w:r>
    </w:p>
    <w:p>
      <w:pPr>
        <w:pStyle w:val="Normal"/>
        <w:spacing w:lineRule="auto" w:line="276" w:before="0" w:after="0"/>
        <w:jc w:val="both"/>
        <w:rPr>
          <w:rFonts w:ascii="Times New Roman" w:hAnsi="Times New Roman" w:eastAsia="Times New Roman" w:cs="Times New Roman"/>
          <w:b/>
          <w:b/>
          <w:bCs/>
          <w:i/>
          <w:i/>
          <w:iCs/>
          <w:caps w:val="false"/>
          <w:smallCaps w:val="false"/>
          <w:strike w:val="false"/>
          <w:dstrike w:val="false"/>
          <w:color w:val="000000"/>
          <w:spacing w:val="0"/>
          <w:sz w:val="24"/>
          <w:szCs w:val="24"/>
          <w:u w:val="none"/>
          <w:effect w:val="none"/>
          <w:lang w:eastAsia="it-IT"/>
        </w:rPr>
      </w:pPr>
      <w:r>
        <w:rPr>
          <w:rFonts w:eastAsia="Times New Roman" w:cs="Times New Roman" w:ascii="Times New Roman" w:hAnsi="Times New Roman"/>
          <w:b w:val="false"/>
          <w:bCs/>
          <w:i w:val="false"/>
          <w:iCs/>
          <w:caps w:val="false"/>
          <w:smallCaps w:val="false"/>
          <w:strike w:val="false"/>
          <w:dstrike w:val="false"/>
          <w:color w:val="000000"/>
          <w:spacing w:val="0"/>
          <w:sz w:val="24"/>
          <w:szCs w:val="24"/>
          <w:u w:val="none"/>
          <w:effect w:val="none"/>
          <w:lang w:eastAsia="it-IT"/>
        </w:rPr>
        <w:t xml:space="preserve">La riorganizzazione dell’Azienda sanitaria partiva da tale premessa, dalla consapevolezza degli effetti dei trend demografici sui bisogni di salute della popolazione; dal riconoscere l’ importante azione infrastrutturale che ha interessato il Trentino negli ultimi decenni e le possibilità di mobilità che questa ha generato; dalla necessità di offrire ai trentini pari opportunità di fruizione dei servizi sanitari e omogeneità di trattamento a prescindere dal loro punto di accesso alla rete provinciale. </w:t>
      </w:r>
    </w:p>
    <w:p>
      <w:pPr>
        <w:pStyle w:val="Normal"/>
        <w:spacing w:lineRule="auto" w:line="276" w:before="0" w:after="0"/>
        <w:jc w:val="both"/>
        <w:rPr>
          <w:rFonts w:ascii="Times New Roman" w:hAnsi="Times New Roman" w:eastAsia="Times New Roman" w:cs="Times New Roman"/>
          <w:b/>
          <w:b/>
          <w:bCs/>
          <w:i/>
          <w:i/>
          <w:iCs/>
          <w:caps w:val="false"/>
          <w:smallCaps w:val="false"/>
          <w:strike w:val="false"/>
          <w:dstrike w:val="false"/>
          <w:color w:val="000000"/>
          <w:spacing w:val="0"/>
          <w:sz w:val="24"/>
          <w:szCs w:val="24"/>
          <w:u w:val="none"/>
          <w:effect w:val="none"/>
          <w:lang w:eastAsia="it-IT"/>
        </w:rPr>
      </w:pPr>
      <w:r>
        <w:rPr>
          <w:rFonts w:eastAsia="Times New Roman" w:cs="Times New Roman" w:ascii="Times New Roman" w:hAnsi="Times New Roman"/>
          <w:b w:val="false"/>
          <w:bCs/>
          <w:i w:val="false"/>
          <w:iCs/>
          <w:caps w:val="false"/>
          <w:smallCaps w:val="false"/>
          <w:strike w:val="false"/>
          <w:dstrike w:val="false"/>
          <w:color w:val="000000"/>
          <w:spacing w:val="0"/>
          <w:sz w:val="24"/>
          <w:szCs w:val="24"/>
          <w:u w:val="none"/>
          <w:effect w:val="none"/>
          <w:lang w:eastAsia="it-IT"/>
        </w:rPr>
        <w:t xml:space="preserve">L’impostazione a rete consente di coniugare sicurezza e efficacia delle cure con specializzazione e sostenibilità nel medio-lungo periodo. </w:t>
      </w:r>
    </w:p>
    <w:p>
      <w:pPr>
        <w:pStyle w:val="Normal"/>
        <w:spacing w:lineRule="auto" w:line="276" w:before="0" w:after="0"/>
        <w:jc w:val="both"/>
        <w:rPr>
          <w:rFonts w:ascii="Times New Roman" w:hAnsi="Times New Roman" w:eastAsia="Times New Roman" w:cs="Times New Roman"/>
          <w:b/>
          <w:b/>
          <w:bCs/>
          <w:i/>
          <w:i/>
          <w:iCs/>
          <w:caps w:val="false"/>
          <w:smallCaps w:val="false"/>
          <w:strike w:val="false"/>
          <w:dstrike w:val="false"/>
          <w:color w:val="000000"/>
          <w:spacing w:val="0"/>
          <w:sz w:val="24"/>
          <w:szCs w:val="24"/>
          <w:u w:val="none"/>
          <w:effect w:val="none"/>
          <w:lang w:eastAsia="it-IT"/>
        </w:rPr>
      </w:pPr>
      <w:r>
        <w:rPr>
          <w:rFonts w:eastAsia="Times New Roman" w:cs="Times New Roman" w:ascii="Times New Roman" w:hAnsi="Times New Roman"/>
          <w:b w:val="false"/>
          <w:bCs/>
          <w:i w:val="false"/>
          <w:iCs/>
          <w:caps w:val="false"/>
          <w:smallCaps w:val="false"/>
          <w:strike w:val="false"/>
          <w:dstrike w:val="false"/>
          <w:color w:val="000000"/>
          <w:spacing w:val="0"/>
          <w:sz w:val="24"/>
          <w:szCs w:val="24"/>
          <w:u w:val="none"/>
          <w:effect w:val="none"/>
          <w:lang w:eastAsia="it-IT"/>
        </w:rPr>
        <w:t xml:space="preserve">Al contempo impone di passare da un modello organizzativo frammentato, in cui l’individuo è «letto» quale paziente di una data struttura (ospedaliera o territoriale che sia), ad uno integrato, in cui la persona viene vista come portatrice di una complessità di esigenze di cura. </w:t>
      </w:r>
    </w:p>
    <w:p>
      <w:pPr>
        <w:pStyle w:val="Normal"/>
        <w:spacing w:lineRule="auto" w:line="276" w:before="0" w:after="0"/>
        <w:jc w:val="both"/>
        <w:rPr>
          <w:rFonts w:ascii="Times New Roman" w:hAnsi="Times New Roman" w:eastAsia="Times New Roman" w:cs="Times New Roman"/>
          <w:b/>
          <w:b/>
          <w:bCs/>
          <w:i/>
          <w:i/>
          <w:iCs/>
          <w:caps w:val="false"/>
          <w:smallCaps w:val="false"/>
          <w:strike w:val="false"/>
          <w:dstrike w:val="false"/>
          <w:color w:val="000000"/>
          <w:spacing w:val="0"/>
          <w:sz w:val="24"/>
          <w:szCs w:val="24"/>
          <w:u w:val="none"/>
          <w:effect w:val="none"/>
          <w:lang w:eastAsia="it-IT"/>
        </w:rPr>
      </w:pPr>
      <w:r>
        <w:rPr>
          <w:rFonts w:eastAsia="Times New Roman" w:cs="Times New Roman" w:ascii="Times New Roman" w:hAnsi="Times New Roman"/>
          <w:b w:val="false"/>
          <w:bCs/>
          <w:i w:val="false"/>
          <w:iCs/>
          <w:caps w:val="false"/>
          <w:smallCaps w:val="false"/>
          <w:strike w:val="false"/>
          <w:dstrike w:val="false"/>
          <w:color w:val="000000"/>
          <w:spacing w:val="0"/>
          <w:sz w:val="24"/>
          <w:szCs w:val="24"/>
          <w:u w:val="none"/>
          <w:effect w:val="none"/>
          <w:lang w:eastAsia="it-IT"/>
        </w:rPr>
        <w:t xml:space="preserve">Autorevoli soggetti certificatori riconoscono la qualità dei servizi erogati nella nostra provincia, grazie al lavoro svolto negli anni passati. Ma se vogliamo affrontare con successo le sfide che avremo davanti alcune modifiche all’assetto attuale si rendono necessarie. Non possiamo più permetterci organizzazioni focalizzate sul «contenitore», siano essi ospedali piuttosto che distretti. Occorre invece concentrare la nostra azione sui «processi» e i «contenuti» della nostra assistenza. I luoghi fisici dove vengono erogate le prestazioni restano basilari, ma vanno ripensati in una logica di trasversalità, equità ed accessibilità alla nostra rete dei servizi. </w:t>
      </w:r>
    </w:p>
    <w:p>
      <w:pPr>
        <w:pStyle w:val="Normal"/>
        <w:spacing w:lineRule="auto" w:line="276" w:before="0" w:after="0"/>
        <w:jc w:val="both"/>
        <w:rPr>
          <w:rFonts w:ascii="Times New Roman" w:hAnsi="Times New Roman" w:eastAsia="Times New Roman" w:cs="Times New Roman"/>
          <w:b/>
          <w:b/>
          <w:bCs/>
          <w:i/>
          <w:i/>
          <w:iCs/>
          <w:caps w:val="false"/>
          <w:smallCaps w:val="false"/>
          <w:strike w:val="false"/>
          <w:dstrike w:val="false"/>
          <w:color w:val="000000"/>
          <w:spacing w:val="0"/>
          <w:sz w:val="24"/>
          <w:szCs w:val="24"/>
          <w:u w:val="none"/>
          <w:effect w:val="none"/>
          <w:lang w:eastAsia="it-IT"/>
        </w:rPr>
      </w:pPr>
      <w:r>
        <w:rPr>
          <w:rFonts w:eastAsia="Times New Roman" w:cs="Times New Roman" w:ascii="Times New Roman" w:hAnsi="Times New Roman"/>
          <w:b w:val="false"/>
          <w:bCs/>
          <w:i w:val="false"/>
          <w:iCs/>
          <w:caps w:val="false"/>
          <w:smallCaps w:val="false"/>
          <w:strike w:val="false"/>
          <w:dstrike w:val="false"/>
          <w:color w:val="000000"/>
          <w:spacing w:val="0"/>
          <w:sz w:val="24"/>
          <w:szCs w:val="24"/>
          <w:u w:val="none"/>
          <w:effect w:val="none"/>
          <w:lang w:eastAsia="it-IT"/>
        </w:rPr>
        <w:t xml:space="preserve">Proprio i fattori positivi della nostra sanità ci consentono di andare in questa direzione, di affrontare le sfide della cronicità e del come mantenere attivi i presidi ospedalieri di valle. </w:t>
      </w:r>
    </w:p>
    <w:p>
      <w:pPr>
        <w:pStyle w:val="Normal"/>
        <w:spacing w:lineRule="auto" w:line="276" w:before="0" w:after="0"/>
        <w:jc w:val="both"/>
        <w:rPr>
          <w:rFonts w:ascii="Times New Roman" w:hAnsi="Times New Roman" w:eastAsia="Times New Roman" w:cs="Times New Roman"/>
          <w:b/>
          <w:b/>
          <w:bCs/>
          <w:i/>
          <w:i/>
          <w:iCs/>
          <w:caps w:val="false"/>
          <w:smallCaps w:val="false"/>
          <w:strike w:val="false"/>
          <w:dstrike w:val="false"/>
          <w:color w:val="000000"/>
          <w:spacing w:val="0"/>
          <w:sz w:val="24"/>
          <w:szCs w:val="24"/>
          <w:u w:val="none"/>
          <w:effect w:val="none"/>
          <w:lang w:eastAsia="it-IT"/>
        </w:rPr>
      </w:pPr>
      <w:r>
        <w:rPr>
          <w:rFonts w:eastAsia="Times New Roman" w:cs="Times New Roman" w:ascii="Times New Roman" w:hAnsi="Times New Roman"/>
          <w:b w:val="false"/>
          <w:bCs/>
          <w:i w:val="false"/>
          <w:iCs/>
          <w:caps w:val="false"/>
          <w:smallCaps w:val="false"/>
          <w:strike w:val="false"/>
          <w:dstrike w:val="false"/>
          <w:color w:val="000000"/>
          <w:spacing w:val="0"/>
          <w:sz w:val="24"/>
          <w:szCs w:val="24"/>
          <w:u w:val="none"/>
          <w:effect w:val="none"/>
          <w:lang w:eastAsia="it-IT"/>
        </w:rPr>
        <w:t xml:space="preserve">Senza l’ opportunità di essere inseriti in una rete aziendale molto solida, infatti, difficilmente oggi professionisti specializzati possono trovare interesse a collocarsi in strutture periferiche. Al contempo se dovessero venire meno i presidi ospedalieri di valle collasserebbe anche l’ ospedale centrale. </w:t>
      </w:r>
    </w:p>
    <w:p>
      <w:pPr>
        <w:pStyle w:val="Normal"/>
        <w:spacing w:lineRule="auto" w:line="276" w:before="0" w:after="0"/>
        <w:jc w:val="both"/>
        <w:rPr>
          <w:rFonts w:ascii="Times New Roman" w:hAnsi="Times New Roman" w:eastAsia="Times New Roman" w:cs="Times New Roman"/>
          <w:b/>
          <w:b/>
          <w:bCs/>
          <w:i/>
          <w:i/>
          <w:iCs/>
          <w:caps w:val="false"/>
          <w:smallCaps w:val="false"/>
          <w:strike w:val="false"/>
          <w:dstrike w:val="false"/>
          <w:color w:val="000000"/>
          <w:spacing w:val="0"/>
          <w:sz w:val="24"/>
          <w:szCs w:val="24"/>
          <w:u w:val="none"/>
          <w:effect w:val="none"/>
          <w:lang w:eastAsia="it-IT"/>
        </w:rPr>
      </w:pPr>
      <w:r>
        <w:rPr>
          <w:rFonts w:eastAsia="Times New Roman" w:cs="Times New Roman" w:ascii="Times New Roman" w:hAnsi="Times New Roman"/>
          <w:b w:val="false"/>
          <w:bCs/>
          <w:i w:val="false"/>
          <w:iCs/>
          <w:caps w:val="false"/>
          <w:smallCaps w:val="false"/>
          <w:strike w:val="false"/>
          <w:dstrike w:val="false"/>
          <w:color w:val="000000"/>
          <w:spacing w:val="0"/>
          <w:sz w:val="24"/>
          <w:szCs w:val="24"/>
          <w:u w:val="none"/>
          <w:effect w:val="none"/>
          <w:lang w:eastAsia="it-IT"/>
        </w:rPr>
        <w:t xml:space="preserve">Per riuscirci, dovranno essere modificati alcuni assetti e rapporti tra professionisti abituati a governare da soli un pezzetto del sistema, per lavorare invece con un’ottica integrata. Ma non porsi oggi di fronte a tali scenari e prepararsi a gestire le future emergenze sarebbe miope e irresponsabile. </w:t>
      </w:r>
    </w:p>
    <w:p>
      <w:pPr>
        <w:pStyle w:val="Normal"/>
        <w:spacing w:lineRule="auto" w:line="276" w:before="0" w:after="0"/>
        <w:jc w:val="both"/>
        <w:rPr>
          <w:rFonts w:ascii="Times New Roman" w:hAnsi="Times New Roman" w:eastAsia="Times New Roman" w:cs="Times New Roman"/>
          <w:b/>
          <w:b/>
          <w:bCs/>
          <w:i/>
          <w:i/>
          <w:iCs/>
          <w:caps w:val="false"/>
          <w:smallCaps w:val="false"/>
          <w:strike w:val="false"/>
          <w:dstrike w:val="false"/>
          <w:color w:val="000000"/>
          <w:spacing w:val="0"/>
          <w:sz w:val="24"/>
          <w:szCs w:val="24"/>
          <w:u w:val="none"/>
          <w:effect w:val="none"/>
          <w:lang w:eastAsia="it-IT"/>
        </w:rPr>
      </w:pPr>
      <w:r>
        <w:rPr>
          <w:rFonts w:eastAsia="Times New Roman" w:cs="Times New Roman" w:ascii="Times New Roman" w:hAnsi="Times New Roman"/>
          <w:b w:val="false"/>
          <w:bCs/>
          <w:i w:val="false"/>
          <w:iCs/>
          <w:caps w:val="false"/>
          <w:smallCaps w:val="false"/>
          <w:strike w:val="false"/>
          <w:dstrike w:val="false"/>
          <w:color w:val="000000"/>
          <w:spacing w:val="0"/>
          <w:sz w:val="24"/>
          <w:szCs w:val="24"/>
          <w:u w:val="none"/>
          <w:effect w:val="none"/>
          <w:lang w:eastAsia="it-IT"/>
        </w:rPr>
        <w:t>È comprensibile che qualcuno difenda modalità gestionali consolidate in anni passati con un diverso contesto demografico, professionale, tecnologico, scientifico, ma oggi occorre una visione globale che si innesta sull’ analisi dell’ evoluzione dei bisogni, per garantire i migliori servizi ai cittadini.</w:t>
      </w:r>
    </w:p>
    <w:p>
      <w:pPr>
        <w:pStyle w:val="Corpodeltesto"/>
        <w:spacing w:lineRule="auto" w:line="276" w:before="0" w:after="0"/>
        <w:jc w:val="both"/>
        <w:rPr>
          <w:rFonts w:ascii="Times New Roman" w:hAnsi="Times New Roman" w:eastAsia="Times New Roman" w:cs="Times New Roman"/>
          <w:b/>
          <w:b/>
          <w:bCs/>
          <w:i/>
          <w:i/>
          <w:iCs/>
          <w:caps w:val="false"/>
          <w:smallCaps w:val="false"/>
          <w:strike w:val="false"/>
          <w:dstrike w:val="false"/>
          <w:color w:val="000000"/>
          <w:spacing w:val="0"/>
          <w:sz w:val="24"/>
          <w:szCs w:val="24"/>
          <w:u w:val="none"/>
          <w:effect w:val="none"/>
          <w:lang w:eastAsia="it-IT"/>
        </w:rPr>
      </w:pPr>
      <w:r>
        <w:rPr>
          <w:rFonts w:eastAsia="Times New Roman" w:cs="Times New Roman" w:ascii="Times New Roman" w:hAnsi="Times New Roman"/>
          <w:b w:val="false"/>
          <w:bCs/>
          <w:i w:val="false"/>
          <w:iCs/>
          <w:caps w:val="false"/>
          <w:smallCaps w:val="false"/>
          <w:strike w:val="false"/>
          <w:dstrike w:val="false"/>
          <w:color w:val="000000"/>
          <w:spacing w:val="0"/>
          <w:sz w:val="24"/>
          <w:szCs w:val="24"/>
          <w:u w:val="none"/>
          <w:effect w:val="none"/>
          <w:lang w:eastAsia="it-IT"/>
        </w:rPr>
        <w:t xml:space="preserve">In questo contesto sono essenziali la forte sinergia tra la parte politica istituzionale e la parte tecnico sanitaria, e le valutazioni che l’Assessorato alla Salute e l’Azienda Provinciale per i Servizi Sanitari svolgono si devono basare su valutazioni tecniche e sulla complementare programmazione provinciale. </w:t>
      </w:r>
    </w:p>
    <w:p>
      <w:pPr>
        <w:pStyle w:val="Corpodeltesto"/>
        <w:spacing w:lineRule="auto" w:line="276" w:before="0" w:after="0"/>
        <w:ind w:left="0" w:right="0" w:hanging="0"/>
        <w:jc w:val="both"/>
        <w:rPr>
          <w:rFonts w:ascii="Times New Roman" w:hAnsi="Times New Roman"/>
          <w:b w:val="false"/>
          <w:b w:val="false"/>
          <w:i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Questo perché nel corso del tempo, come in tutti gli ambiti della vita umana, anche i bisogni di salute e le risposte sanitarie evolvono in base alle conoscenze clinico scientifiche e in base a nuove forme e metodologie organizzative e operative disponibili.</w:t>
      </w:r>
    </w:p>
    <w:p>
      <w:pPr>
        <w:pStyle w:val="Corpodeltesto"/>
        <w:spacing w:lineRule="auto" w:line="276" w:before="0" w:after="0"/>
        <w:ind w:left="0" w:right="0" w:hanging="0"/>
        <w:jc w:val="both"/>
        <w:rPr>
          <w:rFonts w:ascii="Times New Roman" w:hAnsi="Times New Roman"/>
          <w:b w:val="false"/>
          <w:b w:val="false"/>
          <w:i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La programmazione della PAT si deve muove in questo senso su due fronti principali:</w:t>
      </w:r>
    </w:p>
    <w:p>
      <w:pPr>
        <w:pStyle w:val="Corpodeltesto"/>
        <w:spacing w:lineRule="auto" w:line="276" w:before="0" w:after="0"/>
        <w:ind w:left="0" w:right="0" w:hanging="0"/>
        <w:jc w:val="both"/>
        <w:rPr>
          <w:rFonts w:ascii="Times New Roman" w:hAnsi="Times New Roman"/>
          <w:b w:val="false"/>
          <w:b w:val="false"/>
          <w:i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Il primo è costituito delle strutture ospedaliere, con la costruzione e il consolidamento di una rete ospedaliera strutturata.</w:t>
      </w:r>
    </w:p>
    <w:p>
      <w:pPr>
        <w:pStyle w:val="Corpodeltesto"/>
        <w:spacing w:lineRule="auto" w:line="276" w:before="0" w:after="0"/>
        <w:ind w:left="0" w:right="0" w:hanging="0"/>
        <w:jc w:val="both"/>
        <w:rPr>
          <w:rFonts w:ascii="Times New Roman" w:hAnsi="Times New Roman"/>
          <w:b w:val="false"/>
          <w:b w:val="false"/>
          <w:bCs w:val="false"/>
          <w:i w:val="false"/>
          <w:i w:val="false"/>
          <w:caps w:val="false"/>
          <w:smallCaps w:val="false"/>
          <w:strike w:val="false"/>
          <w:dstrike w:val="false"/>
          <w:color w:val="000000"/>
          <w:spacing w:val="0"/>
          <w:sz w:val="24"/>
          <w:szCs w:val="24"/>
          <w:u w:val="none"/>
          <w:effect w:val="none"/>
        </w:rPr>
      </w:pPr>
      <w:r>
        <w:rPr>
          <w:rFonts w:ascii="Times New Roman" w:hAnsi="Times New Roman"/>
          <w:b w:val="false"/>
          <w:bCs w:val="false"/>
          <w:i w:val="false"/>
          <w:caps w:val="false"/>
          <w:smallCaps w:val="false"/>
          <w:strike w:val="false"/>
          <w:dstrike w:val="false"/>
          <w:color w:val="000000"/>
          <w:spacing w:val="0"/>
          <w:sz w:val="24"/>
          <w:szCs w:val="24"/>
          <w:u w:val="none"/>
          <w:effect w:val="none"/>
        </w:rPr>
        <w:t xml:space="preserve">Il principio è dato dal riconoscimento di come, al fine di garantire la massima qualità alle cosiddette prestazioni complesse, sia necessario che vengano concentrate in strutture capaci di garantire l’opportuna casistica. </w:t>
      </w:r>
    </w:p>
    <w:p>
      <w:pPr>
        <w:pStyle w:val="Corpodeltesto"/>
        <w:spacing w:lineRule="auto" w:line="276" w:before="0" w:after="0"/>
        <w:ind w:left="0" w:right="0" w:hanging="0"/>
        <w:jc w:val="both"/>
        <w:rPr>
          <w:rFonts w:ascii="Times New Roman" w:hAnsi="Times New Roman"/>
          <w:b w:val="false"/>
          <w:b w:val="false"/>
          <w:i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 xml:space="preserve">Questo è un principio cardine della sanità che se non viene compreso rende impercorribile ogni forma di approfondimento successivo. Al contempo lavorare sulla rete ospedaliera, significa anche riconoscere la fondamentale funzione degli ospedali di valle che da un lato devono disporre di funzioni, anche complesse, che possono essere gestite in loco a fronte di una casistica sufficiente, dall’altro devono garantire tutti quei servizi di prossimità che possono evitare spostamenti comunque disagevoli ai cittadini. </w:t>
      </w:r>
    </w:p>
    <w:p>
      <w:pPr>
        <w:pStyle w:val="Corpodeltesto"/>
        <w:spacing w:lineRule="auto" w:line="276" w:before="0" w:after="0"/>
        <w:ind w:left="0" w:right="0" w:hanging="0"/>
        <w:jc w:val="both"/>
        <w:rPr>
          <w:rFonts w:ascii="Times New Roman" w:hAnsi="Times New Roman"/>
          <w:b w:val="false"/>
          <w:b w:val="false"/>
          <w:i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 xml:space="preserve">Il secondo fronte su cui sempre di più si dovrà investire è rappresentato dalla cosiddetta medicina di territorio. In questa prospettiva sono numerose le riforme avviate negli ultimi anni che dovranno essere implementate e messe a regime nel prossimo futuro. Esse dovranno garantire risposte alla vera emergenza sociale in atto: l’aumento delle cronicità collegato all’aumento dell’invecchiamento della popolazione. </w:t>
      </w:r>
    </w:p>
    <w:p>
      <w:pPr>
        <w:pStyle w:val="Corpodeltesto"/>
        <w:spacing w:lineRule="auto" w:line="276" w:before="0" w:after="0"/>
        <w:ind w:left="0" w:right="0" w:hanging="0"/>
        <w:jc w:val="both"/>
        <w:rPr>
          <w:rFonts w:ascii="Times New Roman" w:hAnsi="Times New Roman"/>
          <w:b w:val="false"/>
          <w:b w:val="false"/>
          <w:i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 xml:space="preserve">In questo senso vanno letti i passaggi dell’individuazione, all’interno della riorganizzazione dell’APSS, della figura del Coordinatore dell’Integrazione Ospedale e Territorio, al fine di migliorare la continuità del percorso assistenziale delle persone; il protocollo firmato con l’IPASVI sull’implementazione degli infermieri di comunità per valorizzare sempre di più sul territorio figure professionali non mediche che hanno raggiunto un alto livello di competenza; la riforma del welfare anziani e lo spazio argento che ha trasferito sui territori la competenza per svolgere politiche per gli anziani a 360°; il piano demenze; la rete delle cure palliative; la rete oncologica e via via tutti quei servizi che garantiscono i 9 milioni di prestazioni sanitarie che ogni anno vengono erogate dal nostro SSP (tra i quali i trasporti “protetti” di emergenza che sono già garantiti nell’ambito dei protocolli sull’emergenza/urgenza e dei trasporti sanitari sia nel territorio provinciale che extra-provinciale). </w:t>
      </w:r>
    </w:p>
    <w:p>
      <w:pPr>
        <w:pStyle w:val="Corpodeltesto"/>
        <w:spacing w:lineRule="auto" w:line="276" w:before="0" w:after="0"/>
        <w:ind w:left="0" w:right="0" w:hanging="0"/>
        <w:jc w:val="both"/>
        <w:rPr>
          <w:rFonts w:ascii="Times New Roman" w:hAnsi="Times New Roman"/>
          <w:b w:val="false"/>
          <w:b w:val="false"/>
          <w:i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Il tutto con il supporto delle nuove tecnologie (Già oggi migliaia di trentini, soprattutto anziani, accedono alla propria cartella clinica attraverso la piattaforma Trec (anche con App sul cellulare), la dematerializzazione delle ricette ha reso molto più semplici i servizi), che consentiranno di rivoluzionare l’assistenza domiciliare ed anche i rapporti tra territori.</w:t>
      </w:r>
    </w:p>
    <w:p>
      <w:pPr>
        <w:pStyle w:val="Corpodeltesto"/>
        <w:spacing w:lineRule="auto" w:line="276" w:before="0" w:after="0"/>
        <w:ind w:left="0" w:right="0" w:hanging="0"/>
        <w:jc w:val="both"/>
        <w:rPr>
          <w:rFonts w:ascii="Times New Roman" w:hAnsi="Times New Roman"/>
          <w:b w:val="false"/>
          <w:b w:val="false"/>
          <w:i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 xml:space="preserve">Questa premessa è doverosa e necessaria per inquadrare, all’interno di una visione complessa, le questioni puntuali che sono spesso oggetto del confronto con gli amministratori locali. Dobbiamo infatti essere consapevoli che la capacità di ogni territorio di dare risposte alle esigenze dei cittadini dipende dal suo essere parte di un unico sistema provinciale. </w:t>
      </w:r>
    </w:p>
    <w:p>
      <w:pPr>
        <w:pStyle w:val="Normal"/>
        <w:spacing w:lineRule="auto" w:line="276" w:before="0" w:after="0"/>
        <w:jc w:val="both"/>
        <w:rPr/>
      </w:pPr>
      <w:r>
        <w:rPr>
          <w:rStyle w:val="Enfasiforte"/>
          <w:rFonts w:eastAsia="Calibri" w:cs="Times New Roman" w:ascii="Times New Roman" w:hAnsi="Times New Roman"/>
          <w:b w:val="false"/>
          <w:i w:val="false"/>
          <w:iCs/>
          <w:caps w:val="false"/>
          <w:smallCaps w:val="false"/>
          <w:color w:val="000000"/>
          <w:spacing w:val="0"/>
          <w:kern w:val="0"/>
          <w:sz w:val="24"/>
          <w:szCs w:val="24"/>
          <w:lang w:val="it-IT" w:eastAsia="zh-CN" w:bidi="ar-SA"/>
        </w:rPr>
        <w:t xml:space="preserve">Un focus particolare merita il tema dell’invecchiamento della popolazione. </w:t>
      </w:r>
    </w:p>
    <w:p>
      <w:pPr>
        <w:pStyle w:val="Corpodeltesto"/>
        <w:spacing w:lineRule="auto" w:line="276"/>
        <w:jc w:val="both"/>
        <w:rPr>
          <w:rFonts w:ascii="Times New Roman" w:hAnsi="Times New Roman"/>
          <w:color w:val="000000"/>
          <w:sz w:val="24"/>
          <w:szCs w:val="24"/>
        </w:rPr>
      </w:pPr>
      <w:r>
        <w:rPr>
          <w:rFonts w:ascii="Times New Roman" w:hAnsi="Times New Roman"/>
          <w:color w:val="000000"/>
          <w:sz w:val="24"/>
          <w:szCs w:val="24"/>
        </w:rPr>
        <w:t>Si stima che in Trentino circa 20.000 persone over 65 siano in condizione di non autosufficienza e che all’incirca la metà di questi si trovino in condizione di solitudine o in carico alle famiglie, fuori quindi dal circuito pubblico di assistenza.</w:t>
      </w:r>
    </w:p>
    <w:p>
      <w:pPr>
        <w:pStyle w:val="Corpodeltesto"/>
        <w:spacing w:lineRule="auto" w:line="276"/>
        <w:jc w:val="both"/>
        <w:rPr>
          <w:rFonts w:ascii="Times New Roman" w:hAnsi="Times New Roman"/>
          <w:color w:val="000000"/>
          <w:sz w:val="24"/>
          <w:szCs w:val="24"/>
        </w:rPr>
      </w:pPr>
      <w:r>
        <w:rPr>
          <w:rFonts w:ascii="Times New Roman" w:hAnsi="Times New Roman"/>
          <w:color w:val="000000"/>
          <w:sz w:val="24"/>
          <w:szCs w:val="24"/>
        </w:rPr>
        <w:t>Esiste quindi la necessità di far evolvere l’attuale sistema dei servizi rendendo più accessibile e capace di produrre interventi sempre più flessibili e personalizzati.</w:t>
      </w:r>
    </w:p>
    <w:p>
      <w:pPr>
        <w:pStyle w:val="Corpodeltesto"/>
        <w:spacing w:lineRule="auto" w:line="276"/>
        <w:jc w:val="both"/>
        <w:rPr>
          <w:rFonts w:ascii="Times New Roman" w:hAnsi="Times New Roman"/>
          <w:color w:val="000000"/>
          <w:sz w:val="24"/>
          <w:szCs w:val="24"/>
        </w:rPr>
      </w:pPr>
      <w:r>
        <w:rPr>
          <w:rFonts w:ascii="Times New Roman" w:hAnsi="Times New Roman"/>
          <w:color w:val="000000"/>
          <w:sz w:val="24"/>
          <w:szCs w:val="24"/>
        </w:rPr>
        <w:t xml:space="preserve">La legge 17 del 2017, con l’obiettivo di porre al centro la persona e la sua rete familiare, offre loro un interlocutore unico in grado – sulla base di un budget non più diviso tra aspetti sociali e sanitari – di attivare e personalizzare le migliori risorse secondo le esigenze personali e le specifiche situazioni. </w:t>
      </w:r>
    </w:p>
    <w:p>
      <w:pPr>
        <w:pStyle w:val="Corpodeltesto"/>
        <w:spacing w:lineRule="auto" w:line="276"/>
        <w:jc w:val="both"/>
        <w:rPr/>
      </w:pPr>
      <w:r>
        <w:rPr>
          <w:rFonts w:ascii="Times New Roman" w:hAnsi="Times New Roman"/>
          <w:color w:val="000000"/>
          <w:sz w:val="24"/>
          <w:szCs w:val="24"/>
        </w:rPr>
        <w:t>Per attuare quella riforma è necessario migliorare la capacità di visione d’insieme, in modo da consentire una programmazione delle politiche e dei servizi capaci di operare in maniera equa e più efficace, rendendo flessibile l’uso delle risorse per sviluppare i servizi in base alle esigenze delle persone. In questa prospettiva il territorio assume un ruolo centrale, quale luogo deputato a leggere e interpretare i bisogni delle comunità che rappresenta.</w:t>
      </w:r>
    </w:p>
    <w:p>
      <w:pPr>
        <w:pStyle w:val="Corpodeltesto"/>
        <w:widowControl/>
        <w:spacing w:lineRule="auto" w:line="276" w:before="0" w:after="0"/>
        <w:ind w:left="0" w:right="0" w:hanging="0"/>
        <w:jc w:val="both"/>
        <w:rPr>
          <w:strike w:val="false"/>
          <w:dstrike w:val="false"/>
          <w:u w:val="none"/>
          <w:effect w:val="none"/>
        </w:rPr>
      </w:pPr>
      <w:r>
        <w:rPr>
          <w:strike w:val="false"/>
          <w:dstrike w:val="false"/>
          <w:u w:val="none"/>
          <w:effect w:val="none"/>
        </w:rPr>
      </w:r>
    </w:p>
    <w:p>
      <w:pPr>
        <w:pStyle w:val="Corpodeltesto"/>
        <w:widowControl/>
        <w:spacing w:lineRule="auto" w:line="276" w:before="0" w:after="0"/>
        <w:ind w:left="0" w:right="0" w:hanging="0"/>
        <w:jc w:val="both"/>
        <w:rPr>
          <w:rFonts w:ascii="Times New Roman" w:hAnsi="Times New Roman"/>
          <w:color w:val="000000"/>
          <w:sz w:val="24"/>
          <w:szCs w:val="24"/>
        </w:rPr>
      </w:pPr>
      <w:r>
        <w:rPr>
          <w:rFonts w:eastAsia="Calibri" w:cs="Times New Roman" w:ascii="Times New Roman" w:hAnsi="Times New Roman"/>
          <w:b/>
          <w:bCs/>
          <w:i w:val="false"/>
          <w:caps w:val="false"/>
          <w:smallCaps w:val="false"/>
          <w:color w:val="000000"/>
          <w:spacing w:val="0"/>
          <w:sz w:val="24"/>
          <w:szCs w:val="24"/>
          <w:lang w:val="it-IT" w:eastAsia="it-IT" w:bidi="ar-SA"/>
        </w:rPr>
        <w:t>Tutto ciò premesso, il Consiglio della Provincia Autonoma di Trento impegna la Giunta provinciale:</w:t>
      </w:r>
    </w:p>
    <w:p>
      <w:pPr>
        <w:pStyle w:val="Corpodeltesto"/>
        <w:widowControl/>
        <w:spacing w:lineRule="auto" w:line="276" w:before="0" w:after="0"/>
        <w:ind w:left="0" w:right="0" w:hanging="0"/>
        <w:jc w:val="both"/>
        <w:rPr>
          <w:rFonts w:ascii="Times New Roman" w:hAnsi="Times New Roman" w:eastAsia="Calibri" w:cs="Times New Roman"/>
          <w:b w:val="false"/>
          <w:b w:val="false"/>
          <w:i w:val="false"/>
          <w:i w:val="false"/>
          <w:caps w:val="false"/>
          <w:smallCaps w:val="false"/>
          <w:color w:val="000000"/>
          <w:spacing w:val="0"/>
          <w:sz w:val="24"/>
          <w:szCs w:val="24"/>
          <w:lang w:val="it-IT" w:eastAsia="it-IT" w:bidi="ar-SA"/>
        </w:rPr>
      </w:pPr>
      <w:r>
        <w:rPr>
          <w:rFonts w:eastAsia="Calibri" w:cs="Times New Roman" w:ascii="Times New Roman" w:hAnsi="Times New Roman"/>
          <w:b w:val="false"/>
          <w:i w:val="false"/>
          <w:caps w:val="false"/>
          <w:smallCaps w:val="false"/>
          <w:color w:val="000000"/>
          <w:spacing w:val="0"/>
          <w:sz w:val="24"/>
          <w:szCs w:val="24"/>
          <w:lang w:val="it-IT" w:eastAsia="it-IT" w:bidi="ar-SA"/>
        </w:rPr>
      </w:r>
    </w:p>
    <w:p>
      <w:pPr>
        <w:pStyle w:val="Corpodeltesto"/>
        <w:widowControl/>
        <w:numPr>
          <w:ilvl w:val="0"/>
          <w:numId w:val="2"/>
        </w:numPr>
        <w:spacing w:lineRule="auto" w:line="276" w:before="0" w:after="0"/>
        <w:jc w:val="both"/>
        <w:rPr>
          <w:rFonts w:ascii="Times New Roman" w:hAnsi="Times New Roman"/>
          <w:color w:val="000000"/>
          <w:sz w:val="24"/>
          <w:szCs w:val="24"/>
        </w:rPr>
      </w:pPr>
      <w:r>
        <w:rPr>
          <w:rFonts w:eastAsia="Calibri" w:cs="Times New Roman" w:ascii="Times New Roman" w:hAnsi="Times New Roman"/>
          <w:b w:val="false"/>
          <w:i w:val="false"/>
          <w:caps w:val="false"/>
          <w:smallCaps w:val="false"/>
          <w:color w:val="000000"/>
          <w:spacing w:val="0"/>
          <w:sz w:val="24"/>
          <w:szCs w:val="24"/>
          <w:lang w:val="it-IT" w:eastAsia="it-IT" w:bidi="ar-SA"/>
        </w:rPr>
        <w:t>Ad essere consapevole che il sistema sanitario non è un mero ambito di erogazione di servizi e fonte di spesa, bensì un sistema complesso, in relazione con molti ambiti (economia, turismo, sport, formazione, benessere, cultura..) e quindi un’opportunità da sviluppare;</w:t>
      </w:r>
    </w:p>
    <w:p>
      <w:pPr>
        <w:pStyle w:val="Corpodeltesto"/>
        <w:widowControl/>
        <w:numPr>
          <w:ilvl w:val="0"/>
          <w:numId w:val="2"/>
        </w:numPr>
        <w:spacing w:lineRule="auto" w:line="276" w:before="0" w:after="0"/>
        <w:jc w:val="both"/>
        <w:rPr>
          <w:rFonts w:ascii="Times New Roman" w:hAnsi="Times New Roman"/>
          <w:color w:val="000000"/>
          <w:sz w:val="24"/>
          <w:szCs w:val="24"/>
        </w:rPr>
      </w:pPr>
      <w:r>
        <w:rPr>
          <w:rFonts w:eastAsia="Calibri" w:cs="Times New Roman" w:ascii="Times New Roman" w:hAnsi="Times New Roman"/>
          <w:b/>
          <w:bCs/>
          <w:i w:val="false"/>
          <w:caps w:val="false"/>
          <w:smallCaps w:val="false"/>
          <w:color w:val="CE181E"/>
          <w:spacing w:val="0"/>
          <w:sz w:val="24"/>
          <w:szCs w:val="24"/>
          <w:lang w:val="it-IT" w:eastAsia="it-IT" w:bidi="ar-SA"/>
        </w:rPr>
        <w:t>a disciplinare la sanità trentina secondo una programmazione che si basi in primo luogo sulle indicazioni cliniche di coloro che la sanità la conoscono e la vivono, ossia gli operatori sanitari, e progr</w:t>
      </w:r>
      <w:bookmarkStart w:id="1" w:name="__UnoMark__24379_292428344"/>
      <w:bookmarkEnd w:id="1"/>
      <w:r>
        <w:rPr>
          <w:rFonts w:eastAsia="Calibri" w:cs="Times New Roman" w:ascii="Times New Roman" w:hAnsi="Times New Roman"/>
          <w:b/>
          <w:bCs/>
          <w:i w:val="false"/>
          <w:caps w:val="false"/>
          <w:smallCaps w:val="false"/>
          <w:color w:val="CE181E"/>
          <w:spacing w:val="0"/>
          <w:sz w:val="24"/>
          <w:szCs w:val="24"/>
          <w:lang w:val="it-IT" w:eastAsia="it-IT" w:bidi="ar-SA"/>
        </w:rPr>
        <w:t>ammare eventuali razionalizzazioni non in base a richieste puntual</w:t>
      </w:r>
      <w:bookmarkStart w:id="2" w:name="__UnoMark__24530_292428344"/>
      <w:bookmarkEnd w:id="2"/>
      <w:r>
        <w:rPr>
          <w:rFonts w:eastAsia="Calibri" w:cs="Times New Roman" w:ascii="Times New Roman" w:hAnsi="Times New Roman"/>
          <w:b/>
          <w:bCs/>
          <w:i w:val="false"/>
          <w:caps w:val="false"/>
          <w:smallCaps w:val="false"/>
          <w:color w:val="CE181E"/>
          <w:spacing w:val="0"/>
          <w:sz w:val="24"/>
          <w:szCs w:val="24"/>
          <w:lang w:val="it-IT" w:eastAsia="it-IT" w:bidi="ar-SA"/>
        </w:rPr>
        <w:t>i</w:t>
      </w:r>
      <w:bookmarkStart w:id="3" w:name="__UnoMark__24532_292428344"/>
      <w:bookmarkStart w:id="4" w:name="__UnoMark__24533_292428344"/>
      <w:bookmarkEnd w:id="3"/>
      <w:bookmarkEnd w:id="4"/>
      <w:r>
        <w:rPr>
          <w:rFonts w:eastAsia="Calibri" w:cs="Times New Roman" w:ascii="Times New Roman" w:hAnsi="Times New Roman"/>
          <w:b/>
          <w:bCs/>
          <w:i w:val="false"/>
          <w:caps w:val="false"/>
          <w:smallCaps w:val="false"/>
          <w:color w:val="CE181E"/>
          <w:spacing w:val="0"/>
          <w:sz w:val="24"/>
          <w:szCs w:val="24"/>
          <w:lang w:val="it-IT" w:eastAsia="it-IT" w:bidi="ar-SA"/>
        </w:rPr>
        <w:t xml:space="preserve"> basate su valutazioni politiche ma a valutazioni di sistema;</w:t>
      </w:r>
    </w:p>
    <w:p>
      <w:pPr>
        <w:pStyle w:val="Corpodeltesto"/>
        <w:widowControl/>
        <w:numPr>
          <w:ilvl w:val="0"/>
          <w:numId w:val="2"/>
        </w:numPr>
        <w:spacing w:lineRule="auto" w:line="276" w:before="0" w:after="0"/>
        <w:jc w:val="both"/>
        <w:rPr>
          <w:rFonts w:ascii="Times New Roman" w:hAnsi="Times New Roman"/>
          <w:color w:val="000000"/>
          <w:sz w:val="24"/>
          <w:szCs w:val="24"/>
        </w:rPr>
      </w:pPr>
      <w:r>
        <w:rPr>
          <w:rFonts w:eastAsia="Calibri" w:cs="Times New Roman" w:ascii="Times New Roman" w:hAnsi="Times New Roman"/>
          <w:b/>
          <w:bCs/>
          <w:i w:val="false"/>
          <w:caps w:val="false"/>
          <w:smallCaps w:val="false"/>
          <w:color w:val="CE181E"/>
          <w:spacing w:val="0"/>
          <w:sz w:val="24"/>
          <w:szCs w:val="24"/>
          <w:lang w:val="it-IT" w:eastAsia="it-IT" w:bidi="ar-SA"/>
        </w:rPr>
        <w:t>a fornire una visione ed una programmazione sanitaria chiara, che consenta di superare l’attuale percezione di incertezza istituzionale, e permetta di ridare credibilità al sistema, rendendolo nuovamente attrattivo per i professionisti. Tale programmazione deve in particolare rafforzare il concetto di rete ospedaliera, nel riconoscimento degli indicatori del piano nazionale esiti e degli strumenti di comparazione consolidati, e di rafforzamento della medicina e dell’assistenza di territorio, in particolare attraverso le aggregazioni di medici di medicina generale, la diffusione delle cure intermedie, l’adozione di sistemi innovativi di assistenza forniti dalle innovazioni tecnologiche;</w:t>
      </w:r>
    </w:p>
    <w:p>
      <w:pPr>
        <w:pStyle w:val="Corpodeltesto"/>
        <w:widowControl/>
        <w:numPr>
          <w:ilvl w:val="0"/>
          <w:numId w:val="2"/>
        </w:numPr>
        <w:spacing w:lineRule="auto" w:line="276" w:before="0" w:after="0"/>
        <w:jc w:val="both"/>
        <w:rPr>
          <w:b/>
          <w:b/>
          <w:bCs/>
        </w:rPr>
      </w:pPr>
      <w:r>
        <w:rPr>
          <w:rFonts w:eastAsia="Calibri" w:cs="Times New Roman" w:ascii="Times New Roman" w:hAnsi="Times New Roman"/>
          <w:b/>
          <w:bCs/>
          <w:i w:val="false"/>
          <w:caps w:val="false"/>
          <w:smallCaps w:val="false"/>
          <w:color w:val="000000"/>
          <w:spacing w:val="0"/>
          <w:sz w:val="24"/>
          <w:szCs w:val="24"/>
          <w:lang w:val="it-IT" w:eastAsia="it-IT" w:bidi="ar-SA"/>
        </w:rPr>
        <w:t>a garantire impegno e supervisione costante da parte dell’assessorato alla salute nell’attuazione della legge 14 del 2017 di riforma del welfare anziani</w:t>
      </w:r>
    </w:p>
    <w:p>
      <w:pPr>
        <w:pStyle w:val="Corpodeltesto"/>
        <w:widowControl/>
        <w:numPr>
          <w:ilvl w:val="0"/>
          <w:numId w:val="0"/>
        </w:numPr>
        <w:spacing w:lineRule="auto" w:line="276" w:before="0" w:after="0"/>
        <w:ind w:left="720" w:hanging="0"/>
        <w:jc w:val="both"/>
        <w:rPr>
          <w:b/>
          <w:b/>
          <w:bCs/>
          <w:color w:val="CE181E"/>
        </w:rPr>
      </w:pPr>
      <w:r>
        <w:rPr>
          <w:rFonts w:eastAsia="Calibri" w:cs="Times New Roman" w:ascii="Times New Roman" w:hAnsi="Times New Roman"/>
          <w:b/>
          <w:bCs/>
          <w:i w:val="false"/>
          <w:caps w:val="false"/>
          <w:smallCaps w:val="false"/>
          <w:color w:val="CE181E"/>
          <w:spacing w:val="0"/>
          <w:sz w:val="24"/>
          <w:szCs w:val="24"/>
          <w:lang w:val="it-IT" w:eastAsia="it-IT" w:bidi="ar-SA"/>
        </w:rPr>
        <w:t>ad aumentare l’impegno nell’attuazione della legge 14 del 2017 di riforma del welfare anziani, accelerando i tempi della “sperimentazione” decisa dalla giunta ed ampliandone la platea, nella consapevolezza che riforme importanti necessitano di impegno ed energie costanti e di una continua supervisione da parte dell’assessorato competente;</w:t>
      </w:r>
    </w:p>
    <w:p>
      <w:pPr>
        <w:pStyle w:val="Corpodeltesto"/>
        <w:widowControl/>
        <w:numPr>
          <w:ilvl w:val="0"/>
          <w:numId w:val="2"/>
        </w:numPr>
        <w:spacing w:lineRule="auto" w:line="276" w:before="0" w:after="0"/>
        <w:jc w:val="both"/>
        <w:rPr>
          <w:rFonts w:ascii="Times New Roman" w:hAnsi="Times New Roman"/>
          <w:color w:val="000000"/>
          <w:sz w:val="24"/>
          <w:szCs w:val="24"/>
        </w:rPr>
      </w:pPr>
      <w:r>
        <w:rPr>
          <w:rFonts w:eastAsia="Calibri" w:cs="Times New Roman" w:ascii="Times New Roman" w:hAnsi="Times New Roman"/>
          <w:b w:val="false"/>
          <w:i w:val="false"/>
          <w:caps w:val="false"/>
          <w:smallCaps w:val="false"/>
          <w:color w:val="000000"/>
          <w:spacing w:val="0"/>
          <w:sz w:val="24"/>
          <w:szCs w:val="24"/>
          <w:lang w:val="it-IT" w:eastAsia="it-IT" w:bidi="ar-SA"/>
        </w:rPr>
        <w:t>implementare gli strumenti di prevenzione. In particolare:</w:t>
      </w:r>
    </w:p>
    <w:p>
      <w:pPr>
        <w:pStyle w:val="Corpodeltesto"/>
        <w:widowControl/>
        <w:numPr>
          <w:ilvl w:val="0"/>
          <w:numId w:val="0"/>
        </w:numPr>
        <w:spacing w:lineRule="auto" w:line="276" w:before="0" w:after="0"/>
        <w:ind w:left="720" w:hanging="0"/>
        <w:jc w:val="both"/>
        <w:rPr>
          <w:rFonts w:ascii="Times New Roman" w:hAnsi="Times New Roman"/>
          <w:color w:val="000000"/>
          <w:sz w:val="24"/>
          <w:szCs w:val="24"/>
        </w:rPr>
      </w:pPr>
      <w:r>
        <w:rPr>
          <w:rFonts w:eastAsia="Calibri" w:cs="Times New Roman" w:ascii="Times New Roman" w:hAnsi="Times New Roman"/>
          <w:b w:val="false"/>
          <w:i w:val="false"/>
          <w:caps w:val="false"/>
          <w:smallCaps w:val="false"/>
          <w:color w:val="000000"/>
          <w:spacing w:val="0"/>
          <w:sz w:val="24"/>
          <w:szCs w:val="24"/>
          <w:lang w:val="it-IT" w:eastAsia="it-IT" w:bidi="ar-SA"/>
        </w:rPr>
        <w:t>- sostenendo l’attività fisica a tutte le età, sia come stile di vita individuale sia come momento di socializzazione;</w:t>
      </w:r>
    </w:p>
    <w:p>
      <w:pPr>
        <w:pStyle w:val="Corpodeltesto"/>
        <w:widowControl/>
        <w:numPr>
          <w:ilvl w:val="0"/>
          <w:numId w:val="0"/>
        </w:numPr>
        <w:spacing w:lineRule="auto" w:line="276" w:before="0" w:after="0"/>
        <w:ind w:left="720" w:hanging="0"/>
        <w:jc w:val="both"/>
        <w:rPr>
          <w:rFonts w:ascii="Times New Roman" w:hAnsi="Times New Roman"/>
          <w:color w:val="000000"/>
          <w:sz w:val="24"/>
          <w:szCs w:val="24"/>
        </w:rPr>
      </w:pPr>
      <w:r>
        <w:rPr>
          <w:rFonts w:eastAsia="Calibri" w:cs="Times New Roman" w:ascii="Times New Roman" w:hAnsi="Times New Roman"/>
          <w:b w:val="false"/>
          <w:i w:val="false"/>
          <w:caps w:val="false"/>
          <w:smallCaps w:val="false"/>
          <w:color w:val="000000"/>
          <w:spacing w:val="0"/>
          <w:sz w:val="24"/>
          <w:szCs w:val="24"/>
          <w:lang w:val="it-IT" w:eastAsia="it-IT" w:bidi="ar-SA"/>
        </w:rPr>
        <w:t>- anticipando, nell’attuazione della riforma del welfare anziani, il sostegno e la diffusione di co-housing e servizi domiciliari;</w:t>
      </w:r>
    </w:p>
    <w:p>
      <w:pPr>
        <w:pStyle w:val="Corpodeltesto"/>
        <w:widowControl/>
        <w:numPr>
          <w:ilvl w:val="0"/>
          <w:numId w:val="0"/>
        </w:numPr>
        <w:spacing w:lineRule="auto" w:line="276" w:before="0" w:after="0"/>
        <w:ind w:left="720" w:hanging="0"/>
        <w:jc w:val="both"/>
        <w:rPr>
          <w:rFonts w:ascii="Times New Roman" w:hAnsi="Times New Roman"/>
          <w:color w:val="000000"/>
          <w:sz w:val="24"/>
          <w:szCs w:val="24"/>
        </w:rPr>
      </w:pPr>
      <w:r>
        <w:rPr>
          <w:rFonts w:eastAsia="Calibri" w:cs="Times New Roman" w:ascii="Times New Roman" w:hAnsi="Times New Roman"/>
          <w:b w:val="false"/>
          <w:i w:val="false"/>
          <w:caps w:val="false"/>
          <w:smallCaps w:val="false"/>
          <w:color w:val="000000"/>
          <w:spacing w:val="0"/>
          <w:sz w:val="24"/>
          <w:szCs w:val="24"/>
          <w:lang w:val="it-IT" w:eastAsia="it-IT" w:bidi="ar-SA"/>
        </w:rPr>
        <w:t xml:space="preserve">- sensibilizzando maggiormente alle vaccinazioni, secondo le indicazioni mediche, ed attuando l’obbligo di vaccinazione per i minori di 16 anni </w:t>
      </w:r>
      <w:bookmarkStart w:id="5" w:name="__UnoMark__529_4152026233"/>
      <w:bookmarkEnd w:id="5"/>
      <w:r>
        <w:rPr>
          <w:rFonts w:eastAsia="Calibri" w:cs="Times New Roman" w:ascii="Times New Roman" w:hAnsi="Times New Roman"/>
          <w:b/>
          <w:bCs/>
          <w:i w:val="false"/>
          <w:caps w:val="false"/>
          <w:smallCaps w:val="false"/>
          <w:color w:val="CE181E"/>
          <w:spacing w:val="0"/>
          <w:sz w:val="24"/>
          <w:szCs w:val="24"/>
          <w:lang w:val="it-IT" w:eastAsia="it-IT" w:bidi="ar-SA"/>
        </w:rPr>
        <w:t>senza messaggi ambigui che possano ingenerare incertezze nella popolazione;</w:t>
      </w:r>
    </w:p>
    <w:p>
      <w:pPr>
        <w:pStyle w:val="Corpodeltesto"/>
        <w:widowControl/>
        <w:numPr>
          <w:ilvl w:val="0"/>
          <w:numId w:val="0"/>
        </w:numPr>
        <w:spacing w:lineRule="auto" w:line="276" w:before="0" w:after="0"/>
        <w:ind w:left="720" w:hanging="0"/>
        <w:jc w:val="both"/>
        <w:rPr>
          <w:rFonts w:ascii="Times New Roman" w:hAnsi="Times New Roman"/>
          <w:color w:val="000000"/>
          <w:sz w:val="24"/>
          <w:szCs w:val="24"/>
        </w:rPr>
      </w:pPr>
      <w:r>
        <w:rPr>
          <w:rFonts w:eastAsia="Calibri" w:cs="Times New Roman" w:ascii="Times New Roman" w:hAnsi="Times New Roman"/>
          <w:b w:val="false"/>
          <w:i w:val="false"/>
          <w:caps w:val="false"/>
          <w:smallCaps w:val="false"/>
          <w:color w:val="000000"/>
          <w:spacing w:val="0"/>
          <w:sz w:val="24"/>
          <w:szCs w:val="24"/>
          <w:lang w:val="it-IT" w:eastAsia="it-IT" w:bidi="ar-SA"/>
        </w:rPr>
        <w:t>- sostenendo i percorsi di inclusione sociale e di prevenzione delle dipendenze;</w:t>
      </w:r>
    </w:p>
    <w:p>
      <w:pPr>
        <w:pStyle w:val="Corpodeltesto"/>
        <w:widowControl/>
        <w:numPr>
          <w:ilvl w:val="0"/>
          <w:numId w:val="2"/>
        </w:numPr>
        <w:spacing w:lineRule="auto" w:line="276" w:before="0" w:after="0"/>
        <w:jc w:val="both"/>
        <w:rPr>
          <w:rFonts w:ascii="Times New Roman" w:hAnsi="Times New Roman"/>
          <w:color w:val="000000"/>
          <w:sz w:val="24"/>
          <w:szCs w:val="24"/>
        </w:rPr>
      </w:pPr>
      <w:bookmarkStart w:id="6" w:name="__UnoMark__530_4152026233"/>
      <w:bookmarkEnd w:id="6"/>
      <w:r>
        <w:rPr>
          <w:rFonts w:eastAsia="Calibri" w:cs="Times New Roman" w:ascii="Times New Roman" w:hAnsi="Times New Roman"/>
          <w:b/>
          <w:bCs/>
          <w:i w:val="false"/>
          <w:caps w:val="false"/>
          <w:smallCaps w:val="false"/>
          <w:color w:val="CE181E"/>
          <w:spacing w:val="0"/>
          <w:sz w:val="24"/>
          <w:szCs w:val="24"/>
          <w:lang w:val="it-IT" w:eastAsia="it-IT" w:bidi="ar-SA"/>
        </w:rPr>
        <w:t xml:space="preserve">riconoscere il ruolo delle associazioni di volontariato in ambito sanitario come centrale nella </w:t>
      </w:r>
      <w:bookmarkStart w:id="7" w:name="__UnoMark__24706_292428344"/>
      <w:bookmarkStart w:id="8" w:name="__UnoMark__24707_292428344"/>
      <w:bookmarkEnd w:id="7"/>
      <w:bookmarkEnd w:id="8"/>
      <w:r>
        <w:rPr>
          <w:rFonts w:eastAsia="Calibri" w:cs="Times New Roman" w:ascii="Times New Roman" w:hAnsi="Times New Roman"/>
          <w:b/>
          <w:bCs/>
          <w:i w:val="false"/>
          <w:caps w:val="false"/>
          <w:smallCaps w:val="false"/>
          <w:color w:val="CE181E"/>
          <w:spacing w:val="0"/>
          <w:sz w:val="24"/>
          <w:szCs w:val="24"/>
          <w:lang w:val="it-IT" w:eastAsia="it-IT" w:bidi="ar-SA"/>
        </w:rPr>
        <w:t>rete dell’emergenza urgenza, e tutelarne la funzione escludendo categoricamente ipotesi di gare che demolirebbero un sistema consolidato,</w:t>
      </w:r>
      <w:bookmarkStart w:id="9" w:name="__UnoMark__24708_292428344"/>
      <w:bookmarkStart w:id="10" w:name="__UnoMark__24709_292428344"/>
      <w:bookmarkStart w:id="11" w:name="__UnoMark__24710_292428344"/>
      <w:bookmarkEnd w:id="9"/>
      <w:bookmarkEnd w:id="10"/>
      <w:bookmarkEnd w:id="11"/>
      <w:r>
        <w:rPr>
          <w:rFonts w:eastAsia="Calibri" w:cs="Times New Roman" w:ascii="Times New Roman" w:hAnsi="Times New Roman"/>
          <w:b/>
          <w:bCs/>
          <w:i w:val="false"/>
          <w:caps w:val="false"/>
          <w:smallCaps w:val="false"/>
          <w:color w:val="CE181E"/>
          <w:spacing w:val="0"/>
          <w:sz w:val="24"/>
          <w:szCs w:val="24"/>
          <w:lang w:val="it-IT" w:eastAsia="it-IT" w:bidi="ar-SA"/>
        </w:rPr>
        <w:t xml:space="preserve"> che si fonda sulla partecipazione e la preparazione di persone che rappresentano le nostre comunità;</w:t>
      </w:r>
    </w:p>
    <w:p>
      <w:pPr>
        <w:pStyle w:val="Corpodeltesto"/>
        <w:widowControl/>
        <w:numPr>
          <w:ilvl w:val="0"/>
          <w:numId w:val="2"/>
        </w:numPr>
        <w:spacing w:lineRule="auto" w:line="276" w:before="0" w:after="0"/>
        <w:jc w:val="both"/>
        <w:rPr/>
      </w:pPr>
      <w:r>
        <w:rPr>
          <w:rFonts w:eastAsia="Calibri" w:cs="Times New Roman" w:ascii="Times New Roman" w:hAnsi="Times New Roman"/>
          <w:b w:val="false"/>
          <w:i w:val="false"/>
          <w:caps w:val="false"/>
          <w:smallCaps w:val="false"/>
          <w:color w:val="000000"/>
          <w:spacing w:val="0"/>
          <w:sz w:val="24"/>
          <w:szCs w:val="24"/>
          <w:lang w:val="it-IT" w:eastAsia="it-IT" w:bidi="ar-SA"/>
        </w:rPr>
        <w:t xml:space="preserve">nella rete riabilitativa provinciale, riconoscere il ruolo centrale dell’ospedale pubblico Villa Rosa, e gestire il positivo apporto delle realtà della sanità privata secondo le necessità e gli interessi dei pazienti e del sistema sanitario provinciale, </w:t>
      </w:r>
      <w:r>
        <w:rPr>
          <w:rFonts w:eastAsia="Calibri" w:cs="Times New Roman" w:ascii="Times New Roman" w:hAnsi="Times New Roman"/>
          <w:b/>
          <w:bCs/>
          <w:i w:val="false"/>
          <w:caps w:val="false"/>
          <w:smallCaps w:val="false"/>
          <w:color w:val="CE181E"/>
          <w:spacing w:val="0"/>
          <w:sz w:val="24"/>
          <w:szCs w:val="24"/>
          <w:lang w:val="it-IT" w:eastAsia="it-IT" w:bidi="ar-SA"/>
        </w:rPr>
        <w:t>e non del beneficio economico che può avere la singola struttura privata, in particolare se per farlo si dovesse venir meno alle indicazioni tecniche e su ambiti di alta specializzazioni fino ad ora in capo a Villa Rosa.</w:t>
      </w:r>
      <w:bookmarkEnd w:id="0"/>
    </w:p>
    <w:sectPr>
      <w:headerReference w:type="default" r:id="rId2"/>
      <w:headerReference w:type="first" r:id="rId3"/>
      <w:footerReference w:type="default" r:id="rId4"/>
      <w:footerReference w:type="first" r:id="rId5"/>
      <w:type w:val="nextPage"/>
      <w:pgSz w:w="11906" w:h="16838"/>
      <w:pgMar w:left="1134" w:right="1134" w:header="708" w:top="1417" w:footer="708"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Segoe UI">
    <w:charset w:val="00"/>
    <w:family w:val="roman"/>
    <w:pitch w:val="variable"/>
  </w:font>
  <w:font w:name="Arial">
    <w:altName w:val="Helvetic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Bold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lineRule="auto" w:line="240" w:before="0" w:after="0"/>
      <w:jc w:val="center"/>
      <w:rPr/>
    </w:pPr>
    <w:r>
      <w:rPr/>
      <w:drawing>
        <wp:inline distT="0" distB="0" distL="0" distR="0">
          <wp:extent cx="364490" cy="342900"/>
          <wp:effectExtent l="0" t="0" r="0" b="0"/>
          <wp:docPr id="2"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4" descr=""/>
                  <pic:cNvPicPr>
                    <a:picLocks noChangeAspect="1" noChangeArrowheads="1"/>
                  </pic:cNvPicPr>
                </pic:nvPicPr>
                <pic:blipFill>
                  <a:blip r:embed="rId1"/>
                  <a:srcRect l="-11" t="-12" r="-11" b="-12"/>
                  <a:stretch>
                    <a:fillRect/>
                  </a:stretch>
                </pic:blipFill>
                <pic:spPr bwMode="auto">
                  <a:xfrm>
                    <a:off x="0" y="0"/>
                    <a:ext cx="364490" cy="342900"/>
                  </a:xfrm>
                  <a:prstGeom prst="rect">
                    <a:avLst/>
                  </a:prstGeom>
                </pic:spPr>
              </pic:pic>
            </a:graphicData>
          </a:graphic>
        </wp:inline>
      </w:drawing>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Vicolo della Sat, 10 – 38122 TRENTO</w:t>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 xml:space="preserve">Tel. 0461 227340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lineRule="auto" w:line="240" w:before="0" w:after="0"/>
      <w:jc w:val="center"/>
      <w:rPr/>
    </w:pPr>
    <w:r>
      <w:rPr/>
      <w:drawing>
        <wp:inline distT="0" distB="0" distL="0" distR="0">
          <wp:extent cx="364490" cy="342900"/>
          <wp:effectExtent l="0" t="0" r="0" b="0"/>
          <wp:docPr id="3"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6" descr=""/>
                  <pic:cNvPicPr>
                    <a:picLocks noChangeAspect="1" noChangeArrowheads="1"/>
                  </pic:cNvPicPr>
                </pic:nvPicPr>
                <pic:blipFill>
                  <a:blip r:embed="rId1"/>
                  <a:srcRect l="-11" t="-12" r="-11" b="-12"/>
                  <a:stretch>
                    <a:fillRect/>
                  </a:stretch>
                </pic:blipFill>
                <pic:spPr bwMode="auto">
                  <a:xfrm>
                    <a:off x="0" y="0"/>
                    <a:ext cx="364490" cy="342900"/>
                  </a:xfrm>
                  <a:prstGeom prst="rect">
                    <a:avLst/>
                  </a:prstGeom>
                </pic:spPr>
              </pic:pic>
            </a:graphicData>
          </a:graphic>
        </wp:inline>
      </w:drawing>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Vicolo della Sat, 10 – 38122 TRENTO</w:t>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 xml:space="preserve">Tel. 0461 227340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spacing w:before="0" w:after="160"/>
      <w:jc w:val="center"/>
      <w:rPr>
        <w:rFonts w:ascii="Times New Roman" w:hAnsi="Times New Roman" w:cs="Times New Roman"/>
        <w:i/>
        <w:i/>
        <w:sz w:val="20"/>
        <w:szCs w:val="20"/>
      </w:rPr>
    </w:pPr>
    <w:r>
      <w:rPr>
        <w:rFonts w:cs="Times New Roman" w:ascii="Times New Roman" w:hAnsi="Times New Roman"/>
        <w:i/>
        <w:sz w:val="20"/>
        <w:szCs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inline distT="0" distB="0" distL="0" distR="0">
          <wp:extent cx="360045" cy="567055"/>
          <wp:effectExtent l="0" t="0" r="0" b="0"/>
          <wp:docPr id="1"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5" descr=""/>
                  <pic:cNvPicPr>
                    <a:picLocks noChangeAspect="1" noChangeArrowheads="1"/>
                  </pic:cNvPicPr>
                </pic:nvPicPr>
                <pic:blipFill>
                  <a:blip r:embed="rId1"/>
                  <a:srcRect l="-16" t="-10" r="-16" b="-10"/>
                  <a:stretch>
                    <a:fillRect/>
                  </a:stretch>
                </pic:blipFill>
                <pic:spPr bwMode="auto">
                  <a:xfrm>
                    <a:off x="0" y="0"/>
                    <a:ext cx="360045" cy="567055"/>
                  </a:xfrm>
                  <a:prstGeom prst="rect">
                    <a:avLst/>
                  </a:prstGeom>
                </pic:spPr>
              </pic:pic>
            </a:graphicData>
          </a:graphic>
        </wp:inline>
      </w:drawing>
    </w:r>
  </w:p>
  <w:p>
    <w:pPr>
      <w:pStyle w:val="Intestazione"/>
      <w:spacing w:lineRule="auto" w:line="240" w:before="0" w:after="0"/>
      <w:jc w:val="center"/>
      <w:rPr/>
    </w:pPr>
    <w:r>
      <w:rPr>
        <w:rFonts w:cs="Times New Roman" w:ascii="Times New Roman" w:hAnsi="Times New Roman"/>
      </w:rPr>
      <w:t>C</w:t>
    </w:r>
    <w:r>
      <w:rPr>
        <w:rFonts w:cs="Times New Roman" w:ascii="Times New Roman" w:hAnsi="Times New Roman"/>
        <w:sz w:val="16"/>
        <w:szCs w:val="16"/>
      </w:rPr>
      <w:t>ONSIGLIO</w:t>
    </w:r>
    <w:r>
      <w:rPr>
        <w:rFonts w:cs="Times New Roman" w:ascii="Times New Roman" w:hAnsi="Times New Roman"/>
      </w:rPr>
      <w:t xml:space="preserve"> </w:t>
    </w:r>
    <w:r>
      <w:rPr>
        <w:rFonts w:cs="Times New Roman" w:ascii="Times New Roman" w:hAnsi="Times New Roman"/>
        <w:sz w:val="16"/>
        <w:szCs w:val="16"/>
      </w:rPr>
      <w:t>DELLA</w:t>
    </w:r>
    <w:r>
      <w:rPr>
        <w:rFonts w:cs="Times New Roman" w:ascii="Times New Roman" w:hAnsi="Times New Roman"/>
      </w:rPr>
      <w:t xml:space="preserve"> P</w:t>
    </w:r>
    <w:r>
      <w:rPr>
        <w:rFonts w:cs="Times New Roman" w:ascii="Times New Roman" w:hAnsi="Times New Roman"/>
        <w:sz w:val="16"/>
        <w:szCs w:val="16"/>
      </w:rPr>
      <w:t>ROVINCIA</w:t>
    </w:r>
    <w:r>
      <w:rPr>
        <w:rFonts w:cs="Times New Roman" w:ascii="Times New Roman" w:hAnsi="Times New Roman"/>
      </w:rPr>
      <w:t xml:space="preserve"> A</w:t>
    </w:r>
    <w:r>
      <w:rPr>
        <w:rFonts w:cs="Times New Roman" w:ascii="Times New Roman" w:hAnsi="Times New Roman"/>
        <w:sz w:val="16"/>
        <w:szCs w:val="16"/>
      </w:rPr>
      <w:t>UTONOMA</w:t>
    </w:r>
    <w:r>
      <w:rPr>
        <w:rFonts w:cs="Times New Roman" w:ascii="Times New Roman" w:hAnsi="Times New Roman"/>
      </w:rPr>
      <w:t xml:space="preserve"> </w:t>
    </w:r>
    <w:r>
      <w:rPr>
        <w:rFonts w:cs="Times New Roman" w:ascii="Times New Roman" w:hAnsi="Times New Roman"/>
        <w:sz w:val="16"/>
        <w:szCs w:val="16"/>
      </w:rPr>
      <w:t>DI</w:t>
    </w:r>
    <w:r>
      <w:rPr>
        <w:rFonts w:cs="Times New Roman" w:ascii="Times New Roman" w:hAnsi="Times New Roman"/>
      </w:rPr>
      <w:t xml:space="preserve"> T</w:t>
    </w:r>
    <w:r>
      <w:rPr>
        <w:rFonts w:cs="Times New Roman" w:ascii="Times New Roman" w:hAnsi="Times New Roman"/>
        <w:sz w:val="16"/>
        <w:szCs w:val="16"/>
      </w:rPr>
      <w:t>RENTO</w:t>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t>Gruppo consiliare provinciale del Partito Democratico del Trentino</w:t>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sz w:val="24"/>
        <w:b w:val="false"/>
        <w:bCs w:val="false"/>
        <w:rFonts w:ascii="Times New Roman" w:hAnsi="Times New Roman"/>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num w:numId="1">
    <w:abstractNumId w:val="1"/>
  </w:num>
  <w:num w:numId="2">
    <w:abstractNumId w:val="2"/>
  </w:num>
</w:numbering>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it-IT" w:eastAsia="zh-CN" w:bidi="hi-IN"/>
      </w:rPr>
    </w:rPrDefault>
    <w:pPrDefault>
      <w:pPr/>
    </w:pPrDefault>
  </w:docDefaults>
  <w:style w:type="paragraph" w:styleId="Normal">
    <w:name w:val="Normal"/>
    <w:qFormat/>
    <w:pPr>
      <w:widowControl/>
      <w:overflowPunct w:val="true"/>
      <w:bidi w:val="0"/>
      <w:spacing w:lineRule="auto" w:line="252" w:before="0" w:after="160"/>
      <w:jc w:val="left"/>
    </w:pPr>
    <w:rPr>
      <w:rFonts w:ascii="Calibri" w:hAnsi="Calibri" w:eastAsia="Calibri" w:cs="Times New Roman"/>
      <w:color w:val="auto"/>
      <w:kern w:val="0"/>
      <w:sz w:val="22"/>
      <w:szCs w:val="22"/>
      <w:lang w:val="it-IT" w:eastAsia="zh-CN" w:bidi="ar-SA"/>
    </w:rPr>
  </w:style>
  <w:style w:type="paragraph" w:styleId="Titolo2">
    <w:name w:val="Heading 2"/>
    <w:basedOn w:val="Titolo"/>
    <w:qFormat/>
    <w:pPr>
      <w:numPr>
        <w:ilvl w:val="1"/>
        <w:numId w:val="1"/>
      </w:numPr>
      <w:spacing w:before="200" w:after="120"/>
      <w:outlineLvl w:val="1"/>
    </w:pPr>
    <w:rPr>
      <w:rFonts w:ascii="Liberation Serif" w:hAnsi="Liberation Serif" w:eastAsia="SimSun" w:cs="Lucida Sans"/>
      <w:b/>
      <w:bCs/>
      <w:sz w:val="36"/>
      <w:szCs w:val="36"/>
    </w:rPr>
  </w:style>
  <w:style w:type="character" w:styleId="Carpredefinitoparagrafo">
    <w:name w:val="Car. predefinito paragrafo"/>
    <w:qFormat/>
    <w:rPr/>
  </w:style>
  <w:style w:type="character" w:styleId="IntestazioneCarattere">
    <w:name w:val="Intestazione Carattere"/>
    <w:qFormat/>
    <w:rPr>
      <w:sz w:val="22"/>
      <w:szCs w:val="22"/>
    </w:rPr>
  </w:style>
  <w:style w:type="character" w:styleId="PidipaginaCarattere">
    <w:name w:val="Piè di pagina Carattere"/>
    <w:qFormat/>
    <w:rPr>
      <w:sz w:val="22"/>
      <w:szCs w:val="22"/>
    </w:rPr>
  </w:style>
  <w:style w:type="character" w:styleId="TestofumettoCarattere">
    <w:name w:val="Testo fumetto Carattere"/>
    <w:qFormat/>
    <w:rPr>
      <w:rFonts w:ascii="Segoe UI" w:hAnsi="Segoe UI" w:cs="Segoe UI"/>
      <w:sz w:val="18"/>
      <w:szCs w:val="18"/>
    </w:rPr>
  </w:style>
  <w:style w:type="character" w:styleId="TestonormaleCarattere">
    <w:name w:val="Testo normale Carattere"/>
    <w:qFormat/>
    <w:rPr>
      <w:sz w:val="22"/>
      <w:szCs w:val="21"/>
    </w:rPr>
  </w:style>
  <w:style w:type="character" w:styleId="Caratteridinumerazione">
    <w:name w:val="Caratteri di numerazione"/>
    <w:qFormat/>
    <w:rPr>
      <w:b w:val="false"/>
      <w:bCs w:val="false"/>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Enfasi">
    <w:name w:val="Enfasi"/>
    <w:qFormat/>
    <w:rPr>
      <w:i/>
      <w:iCs/>
    </w:rPr>
  </w:style>
  <w:style w:type="character" w:styleId="ListLabel1">
    <w:name w:val="ListLabel 1"/>
    <w:qFormat/>
    <w:rPr>
      <w:rFonts w:ascii="Arial;Helvetica;sans-serif" w:hAnsi="Arial;Helvetica;sans-serif"/>
      <w:b w:val="false"/>
      <w:bCs w:val="false"/>
      <w:sz w:val="24"/>
    </w:rPr>
  </w:style>
  <w:style w:type="character" w:styleId="ListLabel2">
    <w:name w:val="ListLabel 2"/>
    <w:qFormat/>
    <w:rPr>
      <w:b w:val="false"/>
      <w:bCs w:val="false"/>
    </w:rPr>
  </w:style>
  <w:style w:type="character" w:styleId="ListLabel3">
    <w:name w:val="ListLabel 3"/>
    <w:qFormat/>
    <w:rPr>
      <w:b w:val="false"/>
      <w:bCs w:val="false"/>
    </w:rPr>
  </w:style>
  <w:style w:type="character" w:styleId="ListLabel4">
    <w:name w:val="ListLabel 4"/>
    <w:qFormat/>
    <w:rPr>
      <w:b w:val="false"/>
      <w:bCs w:val="false"/>
    </w:rPr>
  </w:style>
  <w:style w:type="character" w:styleId="ListLabel5">
    <w:name w:val="ListLabel 5"/>
    <w:qFormat/>
    <w:rPr>
      <w:b w:val="false"/>
      <w:bCs w:val="false"/>
    </w:rPr>
  </w:style>
  <w:style w:type="character" w:styleId="ListLabel6">
    <w:name w:val="ListLabel 6"/>
    <w:qFormat/>
    <w:rPr>
      <w:b w:val="false"/>
      <w:bCs w:val="false"/>
    </w:rPr>
  </w:style>
  <w:style w:type="character" w:styleId="ListLabel7">
    <w:name w:val="ListLabel 7"/>
    <w:qFormat/>
    <w:rPr>
      <w:b w:val="false"/>
      <w:bCs w:val="false"/>
    </w:rPr>
  </w:style>
  <w:style w:type="character" w:styleId="ListLabel8">
    <w:name w:val="ListLabel 8"/>
    <w:qFormat/>
    <w:rPr>
      <w:b w:val="false"/>
      <w:bCs w:val="false"/>
    </w:rPr>
  </w:style>
  <w:style w:type="character" w:styleId="ListLabel9">
    <w:name w:val="ListLabel 9"/>
    <w:qFormat/>
    <w:rPr>
      <w:b w:val="false"/>
      <w:bCs w:val="false"/>
    </w:rPr>
  </w:style>
  <w:style w:type="character" w:styleId="ListLabel10">
    <w:name w:val="ListLabel 10"/>
    <w:qFormat/>
    <w:rPr>
      <w:rFonts w:ascii="Arial;Helvetica;sans-serif" w:hAnsi="Arial;Helvetica;sans-serif"/>
      <w:b w:val="false"/>
      <w:bCs w:val="false"/>
      <w:sz w:val="24"/>
    </w:rPr>
  </w:style>
  <w:style w:type="character" w:styleId="ListLabel11">
    <w:name w:val="ListLabel 11"/>
    <w:qFormat/>
    <w:rPr>
      <w:b w:val="false"/>
      <w:bCs w:val="false"/>
    </w:rPr>
  </w:style>
  <w:style w:type="character" w:styleId="ListLabel12">
    <w:name w:val="ListLabel 12"/>
    <w:qFormat/>
    <w:rPr>
      <w:b w:val="false"/>
      <w:bCs w:val="false"/>
    </w:rPr>
  </w:style>
  <w:style w:type="character" w:styleId="ListLabel13">
    <w:name w:val="ListLabel 13"/>
    <w:qFormat/>
    <w:rPr>
      <w:b w:val="false"/>
      <w:bCs w:val="false"/>
    </w:rPr>
  </w:style>
  <w:style w:type="character" w:styleId="ListLabel14">
    <w:name w:val="ListLabel 14"/>
    <w:qFormat/>
    <w:rPr>
      <w:b w:val="false"/>
      <w:bCs w:val="false"/>
    </w:rPr>
  </w:style>
  <w:style w:type="character" w:styleId="ListLabel15">
    <w:name w:val="ListLabel 15"/>
    <w:qFormat/>
    <w:rPr>
      <w:b w:val="false"/>
      <w:bCs w:val="false"/>
    </w:rPr>
  </w:style>
  <w:style w:type="character" w:styleId="ListLabel16">
    <w:name w:val="ListLabel 16"/>
    <w:qFormat/>
    <w:rPr>
      <w:b w:val="false"/>
      <w:bCs w:val="false"/>
    </w:rPr>
  </w:style>
  <w:style w:type="character" w:styleId="ListLabel17">
    <w:name w:val="ListLabel 17"/>
    <w:qFormat/>
    <w:rPr>
      <w:b w:val="false"/>
      <w:bCs w:val="false"/>
    </w:rPr>
  </w:style>
  <w:style w:type="character" w:styleId="ListLabel18">
    <w:name w:val="ListLabel 18"/>
    <w:qFormat/>
    <w:rPr>
      <w:b w:val="false"/>
      <w:bCs w:val="false"/>
    </w:rPr>
  </w:style>
  <w:style w:type="character" w:styleId="ListLabel19">
    <w:name w:val="ListLabel 19"/>
    <w:qFormat/>
    <w:rPr>
      <w:rFonts w:ascii="Arial;Helvetica;sans-serif" w:hAnsi="Arial;Helvetica;sans-serif"/>
      <w:b w:val="false"/>
      <w:bCs w:val="false"/>
      <w:sz w:val="24"/>
    </w:rPr>
  </w:style>
  <w:style w:type="character" w:styleId="ListLabel20">
    <w:name w:val="ListLabel 20"/>
    <w:qFormat/>
    <w:rPr>
      <w:b w:val="false"/>
      <w:bCs w:val="false"/>
    </w:rPr>
  </w:style>
  <w:style w:type="character" w:styleId="ListLabel21">
    <w:name w:val="ListLabel 21"/>
    <w:qFormat/>
    <w:rPr>
      <w:b w:val="false"/>
      <w:bCs w:val="false"/>
    </w:rPr>
  </w:style>
  <w:style w:type="character" w:styleId="ListLabel22">
    <w:name w:val="ListLabel 22"/>
    <w:qFormat/>
    <w:rPr>
      <w:b w:val="false"/>
      <w:bCs w:val="false"/>
    </w:rPr>
  </w:style>
  <w:style w:type="character" w:styleId="ListLabel23">
    <w:name w:val="ListLabel 23"/>
    <w:qFormat/>
    <w:rPr>
      <w:b w:val="false"/>
      <w:bCs w:val="false"/>
    </w:rPr>
  </w:style>
  <w:style w:type="character" w:styleId="ListLabel24">
    <w:name w:val="ListLabel 24"/>
    <w:qFormat/>
    <w:rPr>
      <w:b w:val="false"/>
      <w:bCs w:val="false"/>
    </w:rPr>
  </w:style>
  <w:style w:type="character" w:styleId="ListLabel25">
    <w:name w:val="ListLabel 25"/>
    <w:qFormat/>
    <w:rPr>
      <w:b w:val="false"/>
      <w:bCs w:val="false"/>
    </w:rPr>
  </w:style>
  <w:style w:type="character" w:styleId="ListLabel26">
    <w:name w:val="ListLabel 26"/>
    <w:qFormat/>
    <w:rPr>
      <w:b w:val="false"/>
      <w:bCs w:val="false"/>
    </w:rPr>
  </w:style>
  <w:style w:type="character" w:styleId="ListLabel27">
    <w:name w:val="ListLabel 27"/>
    <w:qFormat/>
    <w:rPr>
      <w:b w:val="false"/>
      <w:bCs w:val="false"/>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character" w:styleId="ListLabel28">
    <w:name w:val="ListLabel 28"/>
    <w:qFormat/>
    <w:rPr>
      <w:rFonts w:ascii="Arial;Helvetica;sans-serif" w:hAnsi="Arial;Helvetica;sans-serif"/>
      <w:b w:val="false"/>
      <w:bCs w:val="false"/>
      <w:sz w:val="24"/>
    </w:rPr>
  </w:style>
  <w:style w:type="character" w:styleId="ListLabel29">
    <w:name w:val="ListLabel 29"/>
    <w:qFormat/>
    <w:rPr>
      <w:b w:val="false"/>
      <w:bCs w:val="false"/>
    </w:rPr>
  </w:style>
  <w:style w:type="character" w:styleId="ListLabel30">
    <w:name w:val="ListLabel 30"/>
    <w:qFormat/>
    <w:rPr>
      <w:b w:val="false"/>
      <w:bCs w:val="false"/>
    </w:rPr>
  </w:style>
  <w:style w:type="character" w:styleId="ListLabel31">
    <w:name w:val="ListLabel 31"/>
    <w:qFormat/>
    <w:rPr>
      <w:b w:val="false"/>
      <w:bCs w:val="false"/>
    </w:rPr>
  </w:style>
  <w:style w:type="character" w:styleId="ListLabel32">
    <w:name w:val="ListLabel 32"/>
    <w:qFormat/>
    <w:rPr>
      <w:b w:val="false"/>
      <w:bCs w:val="false"/>
    </w:rPr>
  </w:style>
  <w:style w:type="character" w:styleId="ListLabel33">
    <w:name w:val="ListLabel 33"/>
    <w:qFormat/>
    <w:rPr>
      <w:b w:val="false"/>
      <w:bCs w:val="false"/>
    </w:rPr>
  </w:style>
  <w:style w:type="character" w:styleId="ListLabel34">
    <w:name w:val="ListLabel 34"/>
    <w:qFormat/>
    <w:rPr>
      <w:b w:val="false"/>
      <w:bCs w:val="false"/>
    </w:rPr>
  </w:style>
  <w:style w:type="character" w:styleId="ListLabel35">
    <w:name w:val="ListLabel 35"/>
    <w:qFormat/>
    <w:rPr>
      <w:b w:val="false"/>
      <w:bCs w:val="false"/>
    </w:rPr>
  </w:style>
  <w:style w:type="character" w:styleId="ListLabel36">
    <w:name w:val="ListLabel 36"/>
    <w:qFormat/>
    <w:rPr>
      <w:b w:val="false"/>
      <w:bCs w:val="false"/>
    </w:rPr>
  </w:style>
  <w:style w:type="character" w:styleId="ListLabel37">
    <w:name w:val="ListLabel 37"/>
    <w:qFormat/>
    <w:rPr>
      <w:rFonts w:ascii="Arial;Helvetica;sans-serif" w:hAnsi="Arial;Helvetica;sans-serif"/>
      <w:b w:val="false"/>
      <w:bCs w:val="false"/>
      <w:sz w:val="24"/>
    </w:rPr>
  </w:style>
  <w:style w:type="character" w:styleId="ListLabel38">
    <w:name w:val="ListLabel 38"/>
    <w:qFormat/>
    <w:rPr>
      <w:b w:val="false"/>
      <w:bCs w:val="false"/>
    </w:rPr>
  </w:style>
  <w:style w:type="character" w:styleId="ListLabel39">
    <w:name w:val="ListLabel 39"/>
    <w:qFormat/>
    <w:rPr>
      <w:b w:val="false"/>
      <w:bCs w:val="false"/>
    </w:rPr>
  </w:style>
  <w:style w:type="character" w:styleId="ListLabel40">
    <w:name w:val="ListLabel 40"/>
    <w:qFormat/>
    <w:rPr>
      <w:b w:val="false"/>
      <w:bCs w:val="false"/>
    </w:rPr>
  </w:style>
  <w:style w:type="character" w:styleId="ListLabel41">
    <w:name w:val="ListLabel 41"/>
    <w:qFormat/>
    <w:rPr>
      <w:b w:val="false"/>
      <w:bCs w:val="false"/>
    </w:rPr>
  </w:style>
  <w:style w:type="character" w:styleId="ListLabel42">
    <w:name w:val="ListLabel 42"/>
    <w:qFormat/>
    <w:rPr>
      <w:b w:val="false"/>
      <w:bCs w:val="false"/>
    </w:rPr>
  </w:style>
  <w:style w:type="character" w:styleId="ListLabel43">
    <w:name w:val="ListLabel 43"/>
    <w:qFormat/>
    <w:rPr>
      <w:b w:val="false"/>
      <w:bCs w:val="false"/>
    </w:rPr>
  </w:style>
  <w:style w:type="character" w:styleId="ListLabel44">
    <w:name w:val="ListLabel 44"/>
    <w:qFormat/>
    <w:rPr>
      <w:b w:val="false"/>
      <w:bCs w:val="false"/>
    </w:rPr>
  </w:style>
  <w:style w:type="character" w:styleId="ListLabel45">
    <w:name w:val="ListLabel 45"/>
    <w:qFormat/>
    <w:rPr>
      <w:b w:val="false"/>
      <w:bCs w:val="false"/>
    </w:rPr>
  </w:style>
  <w:style w:type="character" w:styleId="Punti">
    <w:name w:val="Punti"/>
    <w:qFormat/>
    <w:rPr>
      <w:rFonts w:ascii="OpenSymbol" w:hAnsi="OpenSymbol" w:eastAsia="OpenSymbol" w:cs="OpenSymbol"/>
    </w:rPr>
  </w:style>
  <w:style w:type="character" w:styleId="ListLabel46">
    <w:name w:val="ListLabel 46"/>
    <w:qFormat/>
    <w:rPr>
      <w:rFonts w:ascii="Times New Roman" w:hAnsi="Times New Roman"/>
      <w:b w:val="false"/>
      <w:bCs w:val="false"/>
      <w:sz w:val="24"/>
    </w:rPr>
  </w:style>
  <w:style w:type="character" w:styleId="ListLabel47">
    <w:name w:val="ListLabel 47"/>
    <w:qFormat/>
    <w:rPr>
      <w:b w:val="false"/>
      <w:bCs w:val="false"/>
    </w:rPr>
  </w:style>
  <w:style w:type="character" w:styleId="ListLabel48">
    <w:name w:val="ListLabel 48"/>
    <w:qFormat/>
    <w:rPr>
      <w:b w:val="false"/>
      <w:bCs w:val="false"/>
    </w:rPr>
  </w:style>
  <w:style w:type="character" w:styleId="ListLabel49">
    <w:name w:val="ListLabel 49"/>
    <w:qFormat/>
    <w:rPr>
      <w:b w:val="false"/>
      <w:bCs w:val="false"/>
    </w:rPr>
  </w:style>
  <w:style w:type="character" w:styleId="ListLabel50">
    <w:name w:val="ListLabel 50"/>
    <w:qFormat/>
    <w:rPr>
      <w:b w:val="false"/>
      <w:bCs w:val="false"/>
    </w:rPr>
  </w:style>
  <w:style w:type="character" w:styleId="ListLabel51">
    <w:name w:val="ListLabel 51"/>
    <w:qFormat/>
    <w:rPr>
      <w:b w:val="false"/>
      <w:bCs w:val="false"/>
    </w:rPr>
  </w:style>
  <w:style w:type="character" w:styleId="ListLabel52">
    <w:name w:val="ListLabel 52"/>
    <w:qFormat/>
    <w:rPr>
      <w:b w:val="false"/>
      <w:bCs w:val="false"/>
    </w:rPr>
  </w:style>
  <w:style w:type="character" w:styleId="ListLabel53">
    <w:name w:val="ListLabel 53"/>
    <w:qFormat/>
    <w:rPr>
      <w:b w:val="false"/>
      <w:bCs w:val="false"/>
    </w:rPr>
  </w:style>
  <w:style w:type="character" w:styleId="ListLabel54">
    <w:name w:val="ListLabel 54"/>
    <w:qFormat/>
    <w:rPr>
      <w:b w:val="false"/>
      <w:bCs w:val="fals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pPr>
      <w:tabs>
        <w:tab w:val="center" w:pos="4819" w:leader="none"/>
        <w:tab w:val="right" w:pos="9638" w:leader="none"/>
      </w:tabs>
    </w:pPr>
    <w:rPr/>
  </w:style>
  <w:style w:type="paragraph" w:styleId="Pidipagina">
    <w:name w:val="Footer"/>
    <w:basedOn w:val="Normal"/>
    <w:pPr>
      <w:tabs>
        <w:tab w:val="center" w:pos="4819" w:leader="none"/>
        <w:tab w:val="right" w:pos="9638" w:leader="none"/>
      </w:tabs>
    </w:pPr>
    <w:rPr/>
  </w:style>
  <w:style w:type="paragraph" w:styleId="Testofumetto">
    <w:name w:val="Testo fumetto"/>
    <w:basedOn w:val="Normal"/>
    <w:qFormat/>
    <w:pPr>
      <w:spacing w:lineRule="auto" w:line="240" w:before="0" w:after="0"/>
    </w:pPr>
    <w:rPr>
      <w:rFonts w:ascii="Segoe UI" w:hAnsi="Segoe UI" w:cs="Segoe UI"/>
      <w:sz w:val="18"/>
      <w:szCs w:val="18"/>
    </w:rPr>
  </w:style>
  <w:style w:type="paragraph" w:styleId="Testonormale">
    <w:name w:val="Testo normale"/>
    <w:basedOn w:val="Normal"/>
    <w:qFormat/>
    <w:pPr>
      <w:spacing w:lineRule="auto" w:line="240" w:before="0" w:after="0"/>
    </w:pPr>
    <w:rPr>
      <w:szCs w:val="21"/>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3.jpe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463</TotalTime>
  <Application>LibreOffice/6.0.6.2$Windows_X86_64 LibreOffice_project/0c292870b25a325b5ed35f6b45599d2ea4458e77</Application>
  <Pages>5</Pages>
  <Words>2012</Words>
  <Characters>11887</Characters>
  <CharactersWithSpaces>13859</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2014-07-07T16:03:00Z</dcterms:created>
  <dc:creator>Agostini Giovanni</dc:creator>
  <dc:description/>
  <dc:language>it-IT</dc:language>
  <cp:lastModifiedBy/>
  <cp:lastPrinted>2019-04-04T14:05:38Z</cp:lastPrinted>
  <dcterms:modified xsi:type="dcterms:W3CDTF">2019-12-14T11:46:27Z</dcterms:modified>
  <cp:revision>40</cp:revision>
  <dc:subject/>
  <dc:title/>
</cp:coreProperties>
</file>