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55F78" w14:textId="77777777" w:rsidR="00032C73" w:rsidRDefault="00032C73">
      <w:pPr>
        <w:pStyle w:val="Corpotesto"/>
        <w:rPr>
          <w:rFonts w:ascii="Varela Round;sans-serif" w:hAnsi="Varela Round;sans-serif"/>
          <w:color w:val="000000"/>
          <w:sz w:val="16"/>
        </w:rPr>
      </w:pPr>
    </w:p>
    <w:p w14:paraId="794C3523" w14:textId="77777777" w:rsidR="00032C73" w:rsidRDefault="00584F68">
      <w:pPr>
        <w:pStyle w:val="Corpotesto"/>
        <w:spacing w:after="0"/>
        <w:ind w:left="56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Ill.mo Signor</w:t>
      </w:r>
    </w:p>
    <w:p w14:paraId="7B9F88E8" w14:textId="77777777" w:rsidR="00032C73" w:rsidRDefault="00584F68">
      <w:pPr>
        <w:pStyle w:val="Corpotesto"/>
        <w:spacing w:after="0"/>
        <w:ind w:left="56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Walter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Kaswalder</w:t>
      </w:r>
      <w:proofErr w:type="spellEnd"/>
    </w:p>
    <w:p w14:paraId="32541C9A" w14:textId="77777777" w:rsidR="00032C73" w:rsidRDefault="00584F68">
      <w:pPr>
        <w:pStyle w:val="Corpotesto"/>
        <w:spacing w:after="0"/>
        <w:ind w:left="56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Presidente del Consiglio provinciale</w:t>
      </w:r>
    </w:p>
    <w:p w14:paraId="5FD9FE36" w14:textId="77777777" w:rsidR="00032C73" w:rsidRDefault="00584F68">
      <w:pPr>
        <w:pStyle w:val="Corpotesto"/>
        <w:spacing w:after="0"/>
        <w:ind w:left="56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SEDE</w:t>
      </w:r>
    </w:p>
    <w:p w14:paraId="48FA3548" w14:textId="77777777" w:rsidR="00032C73" w:rsidRDefault="00032C73">
      <w:pPr>
        <w:pStyle w:val="Corpotesto"/>
        <w:rPr>
          <w:rFonts w:ascii="Times New Roman" w:hAnsi="Times New Roman"/>
          <w:color w:val="000000"/>
          <w:sz w:val="24"/>
          <w:szCs w:val="24"/>
        </w:rPr>
      </w:pPr>
    </w:p>
    <w:p w14:paraId="41DAF8ED" w14:textId="77777777" w:rsidR="00032C73" w:rsidRDefault="00584F68">
      <w:pPr>
        <w:pStyle w:val="Corpotesto"/>
      </w:pPr>
      <w:r>
        <w:rPr>
          <w:rFonts w:ascii="Times New Roman" w:hAnsi="Times New Roman"/>
          <w:color w:val="000000"/>
          <w:sz w:val="24"/>
          <w:szCs w:val="24"/>
        </w:rPr>
        <w:t>Trento, 17 maggio 2021</w:t>
      </w:r>
    </w:p>
    <w:p w14:paraId="088C79E9" w14:textId="77777777" w:rsidR="00032C73" w:rsidRDefault="00032C73">
      <w:pPr>
        <w:pStyle w:val="Corpotesto"/>
        <w:rPr>
          <w:rFonts w:ascii="Times New Roman" w:hAnsi="Times New Roman"/>
          <w:color w:val="000000"/>
          <w:sz w:val="24"/>
          <w:szCs w:val="24"/>
        </w:rPr>
      </w:pPr>
    </w:p>
    <w:p w14:paraId="102DA302" w14:textId="77777777" w:rsidR="00032C73" w:rsidRDefault="00584F68">
      <w:pPr>
        <w:pStyle w:val="Corpotesto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Proposta di mozione n.</w:t>
      </w:r>
    </w:p>
    <w:p w14:paraId="41D34284" w14:textId="77777777" w:rsidR="00032C73" w:rsidRDefault="00032C73">
      <w:pPr>
        <w:pStyle w:val="Corpotes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0ABA408" w14:textId="77777777" w:rsidR="00032C73" w:rsidRDefault="00584F68">
      <w:pPr>
        <w:pStyle w:val="Corpotes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Prorogare l’entrata in vigore della nuova normativa sulle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premialità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edilizie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3C0BE31" w14:textId="77777777" w:rsidR="00032C73" w:rsidRDefault="00032C7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4D3E3D" w14:textId="77777777" w:rsidR="00032C73" w:rsidRDefault="00584F68">
      <w:pPr>
        <w:pStyle w:val="Corpotesto"/>
        <w:jc w:val="both"/>
      </w:pPr>
      <w:r>
        <w:rPr>
          <w:rFonts w:ascii="Times New Roman" w:hAnsi="Times New Roman"/>
          <w:color w:val="000000"/>
          <w:sz w:val="24"/>
          <w:szCs w:val="24"/>
        </w:rPr>
        <w:t>Con la L.P. 28 dicembre 2020, n. 15 "</w:t>
      </w:r>
      <w:r>
        <w:rPr>
          <w:rStyle w:val="Enfasi"/>
          <w:rFonts w:ascii="Times New Roman" w:hAnsi="Times New Roman"/>
          <w:i w:val="0"/>
          <w:color w:val="000000"/>
          <w:sz w:val="24"/>
          <w:szCs w:val="24"/>
        </w:rPr>
        <w:t xml:space="preserve">Legge </w:t>
      </w:r>
      <w:r>
        <w:rPr>
          <w:rStyle w:val="Enfasi"/>
          <w:rFonts w:ascii="Times New Roman" w:hAnsi="Times New Roman"/>
          <w:i w:val="0"/>
          <w:color w:val="000000"/>
          <w:sz w:val="24"/>
          <w:szCs w:val="24"/>
        </w:rPr>
        <w:t>collegata alla manovra di bilancio provinciale 2021</w:t>
      </w:r>
      <w:r>
        <w:rPr>
          <w:rFonts w:ascii="Times New Roman" w:hAnsi="Times New Roman"/>
          <w:color w:val="000000"/>
          <w:sz w:val="24"/>
          <w:szCs w:val="24"/>
        </w:rPr>
        <w:t xml:space="preserve">" </w:t>
      </w:r>
      <w:r>
        <w:rPr>
          <w:rStyle w:val="Enfasiforte"/>
          <w:rFonts w:ascii="Times New Roman" w:hAnsi="Times New Roman"/>
          <w:b w:val="0"/>
          <w:color w:val="000000"/>
          <w:sz w:val="24"/>
          <w:szCs w:val="24"/>
        </w:rPr>
        <w:t>promulgata, pubblicata ed entrata in vigore il 29 dicembre 2020, sono state apportate, tra l’altro, alcune modifiche alla legge urbanistica provinciale 2008. Le modifiche hanno riguardato gli articoli 83</w:t>
      </w:r>
      <w:r>
        <w:rPr>
          <w:rStyle w:val="Enfasiforte"/>
          <w:rFonts w:ascii="Times New Roman" w:hAnsi="Times New Roman"/>
          <w:b w:val="0"/>
          <w:color w:val="000000"/>
          <w:sz w:val="24"/>
          <w:szCs w:val="24"/>
        </w:rPr>
        <w:t xml:space="preserve">, 85, 86, 88, 89, 90 e 91 della legge provinciale n. 1 del 2008, concernenti il sistema di </w:t>
      </w:r>
      <w:proofErr w:type="spellStart"/>
      <w:r>
        <w:rPr>
          <w:rStyle w:val="Enfasiforte"/>
          <w:rFonts w:ascii="Times New Roman" w:hAnsi="Times New Roman"/>
          <w:b w:val="0"/>
          <w:color w:val="000000"/>
          <w:sz w:val="24"/>
          <w:szCs w:val="24"/>
        </w:rPr>
        <w:t>premialità</w:t>
      </w:r>
      <w:proofErr w:type="spellEnd"/>
      <w:r>
        <w:rPr>
          <w:rStyle w:val="Enfasiforte"/>
          <w:rFonts w:ascii="Times New Roman" w:hAnsi="Times New Roman"/>
          <w:b w:val="0"/>
          <w:color w:val="000000"/>
          <w:sz w:val="24"/>
          <w:szCs w:val="24"/>
        </w:rPr>
        <w:t xml:space="preserve"> edilizie. In particolare </w:t>
      </w:r>
      <w:r>
        <w:rPr>
          <w:rFonts w:ascii="Times New Roman" w:hAnsi="Times New Roman"/>
          <w:color w:val="000000"/>
          <w:sz w:val="24"/>
          <w:szCs w:val="24"/>
        </w:rPr>
        <w:t>è stato completamente sostituito l'articolo 86, relativo a "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Premialità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edilizie per la diffusione dell’edilizia sostenibile e in legno di qualità". </w:t>
      </w:r>
    </w:p>
    <w:p w14:paraId="225954DF" w14:textId="77777777" w:rsidR="00032C73" w:rsidRDefault="00584F68">
      <w:pPr>
        <w:pStyle w:val="Corpotes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La modifica introdotta lo scorso dicemb</w:t>
      </w:r>
      <w:r>
        <w:rPr>
          <w:rFonts w:ascii="Times New Roman" w:hAnsi="Times New Roman"/>
          <w:color w:val="000000"/>
          <w:sz w:val="24"/>
          <w:szCs w:val="24"/>
        </w:rPr>
        <w:t xml:space="preserve">re si applica, come chiarito con la Circolare dell’Assessore Tonina </w:t>
      </w:r>
      <w:r>
        <w:rPr>
          <w:rFonts w:ascii="Times New Roman" w:hAnsi="Times New Roman"/>
          <w:color w:val="000000"/>
          <w:sz w:val="24"/>
          <w:szCs w:val="24"/>
        </w:rPr>
        <w:t xml:space="preserve">di data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846610 di data 31 dicembre 2020, a partire dal 1° luglio 2021. Fino a quest'ultima data continua infatti ad applicarsi l'articolo 86 della L.P. 1/2008 previgente. Inoltre, la normativa previgente continua ad applicarsi anche dopo il 1° luglio</w:t>
      </w:r>
      <w:r>
        <w:rPr>
          <w:rFonts w:ascii="Times New Roman" w:hAnsi="Times New Roman"/>
          <w:color w:val="000000"/>
          <w:sz w:val="24"/>
          <w:szCs w:val="24"/>
        </w:rPr>
        <w:t xml:space="preserve"> 2021 con riguardo ai titoli edilizi richiesti o presentati entro il 30 giugno 2021.</w:t>
      </w:r>
    </w:p>
    <w:p w14:paraId="5819B704" w14:textId="77777777" w:rsidR="00032C73" w:rsidRDefault="00584F68">
      <w:pPr>
        <w:pStyle w:val="Corpotesto"/>
        <w:jc w:val="both"/>
      </w:pPr>
      <w:r>
        <w:rPr>
          <w:rStyle w:val="Enfasiforte"/>
          <w:rFonts w:ascii="Times New Roman" w:hAnsi="Times New Roman"/>
          <w:b w:val="0"/>
          <w:color w:val="000000"/>
          <w:sz w:val="24"/>
          <w:szCs w:val="24"/>
        </w:rPr>
        <w:t>Ad oggi 13/05/2021, per quanto è dato sapere allo scrivente, la Provincia non ha ancora adottato e pubblicato i criteri attuativi necessari per l'applicazione dell'articol</w:t>
      </w:r>
      <w:r>
        <w:rPr>
          <w:rStyle w:val="Enfasiforte"/>
          <w:rFonts w:ascii="Times New Roman" w:hAnsi="Times New Roman"/>
          <w:b w:val="0"/>
          <w:color w:val="000000"/>
          <w:sz w:val="24"/>
          <w:szCs w:val="24"/>
        </w:rPr>
        <w:t>o 86 novellato</w:t>
      </w:r>
      <w:r>
        <w:rPr>
          <w:rFonts w:ascii="Times New Roman" w:hAnsi="Times New Roman"/>
          <w:color w:val="000000"/>
          <w:sz w:val="24"/>
          <w:szCs w:val="24"/>
        </w:rPr>
        <w:t>, e questo sta creando una forte preoccupazione in capo a Comuni, tecnici, ditte edili e committenti. Perché l’incertezza, sempre ma ancor di più in periodi come questo, genera preoccupazioni.</w:t>
      </w:r>
    </w:p>
    <w:p w14:paraId="6D8F03A5" w14:textId="77777777" w:rsidR="00032C73" w:rsidRDefault="00584F68">
      <w:pPr>
        <w:pStyle w:val="Corpotesto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Preoccupazioni che si aggiungono alle molte già d</w:t>
      </w:r>
      <w:r>
        <w:rPr>
          <w:rFonts w:ascii="Times New Roman" w:hAnsi="Times New Roman"/>
          <w:color w:val="000000"/>
          <w:sz w:val="24"/>
          <w:szCs w:val="24"/>
        </w:rPr>
        <w:t>iffuse nel sistema locale, determinate in particolare dall’emergenza COVID-19 ma anche dalle incerte prospettive applicative del cosiddetto “Bonus 110%”, la cui scadenza ravvicinata sta creando forti picchi di lavoro nei Comuni e tra professionisti e ditte</w:t>
      </w:r>
      <w:r>
        <w:rPr>
          <w:rFonts w:ascii="Times New Roman" w:hAnsi="Times New Roman"/>
          <w:color w:val="000000"/>
          <w:sz w:val="24"/>
          <w:szCs w:val="24"/>
        </w:rPr>
        <w:t xml:space="preserve"> edili, ritardi nelle forniture, aumenti anomali dei prezzi ecc.</w:t>
      </w:r>
    </w:p>
    <w:p w14:paraId="228BC010" w14:textId="77777777" w:rsidR="00032C73" w:rsidRDefault="00584F68">
      <w:pPr>
        <w:pStyle w:val="Corpotes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In questo contesto, l’entrata in vigore delle nuove previsioni in materia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premialità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edilizie sta creando come detto ulteriore incertezza, che rischia di gravare ulteriormente sull’operati</w:t>
      </w:r>
      <w:r>
        <w:rPr>
          <w:rFonts w:ascii="Times New Roman" w:hAnsi="Times New Roman"/>
          <w:color w:val="000000"/>
          <w:sz w:val="24"/>
          <w:szCs w:val="24"/>
        </w:rPr>
        <w:t xml:space="preserve">vità dei Comuni – in costante e sempre più grave carenza di personale - e delle Commissioni edilizie e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territoriali, ed inficiare quindi la spinta economica positiva potenzialmente determinata da detrazioni e bonus. </w:t>
      </w:r>
    </w:p>
    <w:p w14:paraId="6653E7AC" w14:textId="77777777" w:rsidR="00032C73" w:rsidRDefault="00584F68">
      <w:pPr>
        <w:pStyle w:val="Corpotes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Con la presente si intende porre attenz</w:t>
      </w:r>
      <w:r>
        <w:rPr>
          <w:rFonts w:ascii="Times New Roman" w:hAnsi="Times New Roman"/>
          <w:color w:val="000000"/>
          <w:sz w:val="24"/>
          <w:szCs w:val="24"/>
        </w:rPr>
        <w:t>ione soprattutto alle operazioni immobiliari già avviate, concepite contando anche sul bonus, e che si troveranno così a dover essere ripensate e riprogettate. Ciò sta già creando forti pressioni sugli uffici tecnici dei Comuni, ai quali data la forte ince</w:t>
      </w:r>
      <w:r>
        <w:rPr>
          <w:rFonts w:ascii="Times New Roman" w:hAnsi="Times New Roman"/>
          <w:color w:val="000000"/>
          <w:sz w:val="24"/>
          <w:szCs w:val="24"/>
        </w:rPr>
        <w:t xml:space="preserve">rtezza stanno arrivando sempre più richieste autorizzative. Preme qui sottolineare nuovamente che i Comuni in questi mesi stanno già sopportando un carico di lavoro al limite, a causa di organici sempre più ridotti, di quote di personale in regime 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smart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working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 applicazione delle normative anti COVID, ma soprattutto in ragione dell’enorme picco di lavoro dovuto alle pratiche connesse al Bonus 110%.  </w:t>
      </w:r>
    </w:p>
    <w:p w14:paraId="3BEBA4BA" w14:textId="77777777" w:rsidR="00032C73" w:rsidRDefault="00584F68">
      <w:pPr>
        <w:pStyle w:val="Corpotes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Aggiungere ulteriori pressioni ad un sistema caratterizzato da un equilibrio già ora assai precario ri</w:t>
      </w:r>
      <w:r>
        <w:rPr>
          <w:rFonts w:ascii="Times New Roman" w:hAnsi="Times New Roman"/>
          <w:color w:val="000000"/>
          <w:sz w:val="24"/>
          <w:szCs w:val="24"/>
        </w:rPr>
        <w:t xml:space="preserve">schia di portare a gravi inefficienze e di conseguenza a gravi danni per un sistema economico locale che sulla ripartenza dell’indotto edile sta riponendo grandi aspettative. </w:t>
      </w:r>
    </w:p>
    <w:p w14:paraId="5A1B34FB" w14:textId="77777777" w:rsidR="00032C73" w:rsidRDefault="00584F68">
      <w:pPr>
        <w:pStyle w:val="Corpotes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Tutto ciò premesso, </w:t>
      </w:r>
    </w:p>
    <w:p w14:paraId="60CC70FA" w14:textId="77777777" w:rsidR="00032C73" w:rsidRDefault="00032C73">
      <w:pPr>
        <w:pStyle w:val="Corpotesto"/>
        <w:rPr>
          <w:rStyle w:val="Enfasiforte"/>
          <w:rFonts w:ascii="Times New Roman" w:hAnsi="Times New Roman"/>
          <w:sz w:val="24"/>
          <w:szCs w:val="24"/>
        </w:rPr>
      </w:pPr>
    </w:p>
    <w:p w14:paraId="1E1700F6" w14:textId="77777777" w:rsidR="00032C73" w:rsidRDefault="00584F68">
      <w:pPr>
        <w:jc w:val="center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il Consiglio della Provincia Autonoma di Trento impegna la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Giunta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38CA48C" w14:textId="77777777" w:rsidR="00032C73" w:rsidRDefault="00584F68">
      <w:pPr>
        <w:numPr>
          <w:ilvl w:val="0"/>
          <w:numId w:val="1"/>
        </w:numPr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prorogare l’entrata in vigore della nuova normativa sulle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premialità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edilizie al 31.12.2021</w:t>
      </w:r>
      <w:bookmarkStart w:id="0" w:name="__UnoMark__807_325614011"/>
      <w:bookmarkStart w:id="1" w:name="__UnoMark__806_325614011"/>
      <w:bookmarkStart w:id="2" w:name="__UnoMark__805_325614011"/>
      <w:bookmarkEnd w:id="0"/>
      <w:bookmarkEnd w:id="1"/>
      <w:bookmarkEnd w:id="2"/>
      <w:r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75917E20" w14:textId="77777777" w:rsidR="00032C73" w:rsidRDefault="00584F6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previo dialogo con gli ordini, le categorie interessate e il Consiglio delle Autonomie Locali, a pubblicare nel più breve tempo possibile il regolamento attuativo delle nuove previsioni normative e le circolari esplicative. </w:t>
      </w:r>
    </w:p>
    <w:p w14:paraId="69A087C9" w14:textId="77777777" w:rsidR="00032C73" w:rsidRDefault="00032C7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861517" w14:textId="77777777" w:rsidR="00032C73" w:rsidRDefault="00584F68">
      <w:pPr>
        <w:pStyle w:val="Corpotesto"/>
        <w:jc w:val="both"/>
        <w:rPr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cons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. Alessio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Manica</w:t>
      </w:r>
    </w:p>
    <w:p w14:paraId="08E402DA" w14:textId="77777777" w:rsidR="00032C73" w:rsidRDefault="00032C73">
      <w:pPr>
        <w:pStyle w:val="Corpotesto"/>
        <w:jc w:val="both"/>
      </w:pPr>
    </w:p>
    <w:sectPr w:rsidR="00032C7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1B266A" w14:textId="77777777" w:rsidR="00584F68" w:rsidRDefault="00584F68">
      <w:pPr>
        <w:spacing w:after="0" w:line="240" w:lineRule="auto"/>
      </w:pPr>
      <w:r>
        <w:separator/>
      </w:r>
    </w:p>
  </w:endnote>
  <w:endnote w:type="continuationSeparator" w:id="0">
    <w:p w14:paraId="728B9F11" w14:textId="77777777" w:rsidR="00584F68" w:rsidRDefault="0058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arela Round;sans-serif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56B3F" w14:textId="77777777" w:rsidR="00032C73" w:rsidRDefault="00584F68">
    <w:pPr>
      <w:pStyle w:val="Pidipagina"/>
      <w:spacing w:after="0" w:line="240" w:lineRule="auto"/>
      <w:jc w:val="center"/>
    </w:pPr>
    <w:r>
      <w:rPr>
        <w:noProof/>
      </w:rPr>
      <w:drawing>
        <wp:inline distT="0" distB="0" distL="0" distR="0" wp14:anchorId="518AADB8" wp14:editId="50373B7E">
          <wp:extent cx="364490" cy="342900"/>
          <wp:effectExtent l="0" t="0" r="0" b="0"/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" t="-22" r="-21" b="-22"/>
                  <a:stretch>
                    <a:fillRect/>
                  </a:stretch>
                </pic:blipFill>
                <pic:spPr bwMode="auto">
                  <a:xfrm>
                    <a:off x="0" y="0"/>
                    <a:ext cx="36449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700409" w14:textId="77777777" w:rsidR="00032C73" w:rsidRDefault="00584F68">
    <w:pPr>
      <w:pStyle w:val="Pidipagina"/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Vicolo della </w:t>
    </w:r>
    <w:proofErr w:type="spellStart"/>
    <w:r>
      <w:rPr>
        <w:rFonts w:ascii="Times New Roman" w:hAnsi="Times New Roman"/>
        <w:sz w:val="18"/>
        <w:szCs w:val="18"/>
      </w:rPr>
      <w:t>Sat</w:t>
    </w:r>
    <w:proofErr w:type="spellEnd"/>
    <w:r>
      <w:rPr>
        <w:rFonts w:ascii="Times New Roman" w:hAnsi="Times New Roman"/>
        <w:sz w:val="18"/>
        <w:szCs w:val="18"/>
      </w:rPr>
      <w:t>, 10 – 38122 TRENTO</w:t>
    </w:r>
  </w:p>
  <w:p w14:paraId="5157B74B" w14:textId="77777777" w:rsidR="00032C73" w:rsidRDefault="00584F68">
    <w:pPr>
      <w:pStyle w:val="Pidipagina"/>
      <w:spacing w:after="0" w:line="240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Tel. 0461 227340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77D0D" w14:textId="77777777" w:rsidR="00584F68" w:rsidRDefault="00584F68">
      <w:pPr>
        <w:spacing w:after="0" w:line="240" w:lineRule="auto"/>
      </w:pPr>
      <w:r>
        <w:separator/>
      </w:r>
    </w:p>
  </w:footnote>
  <w:footnote w:type="continuationSeparator" w:id="0">
    <w:p w14:paraId="504FE627" w14:textId="77777777" w:rsidR="00584F68" w:rsidRDefault="0058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7A7EB" w14:textId="77777777" w:rsidR="00032C73" w:rsidRDefault="00584F68">
    <w:pPr>
      <w:pStyle w:val="Intestazione"/>
      <w:jc w:val="center"/>
    </w:pPr>
    <w:r>
      <w:rPr>
        <w:noProof/>
      </w:rPr>
      <w:drawing>
        <wp:inline distT="0" distB="0" distL="0" distR="0" wp14:anchorId="3BE90AF2" wp14:editId="7655B842">
          <wp:extent cx="360045" cy="567055"/>
          <wp:effectExtent l="0" t="0" r="0" b="0"/>
          <wp:docPr id="1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9" t="-18" r="-29" b="-18"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71B35F" w14:textId="77777777" w:rsidR="00032C73" w:rsidRDefault="00584F68">
    <w:pPr>
      <w:pStyle w:val="Intestazione"/>
      <w:spacing w:after="0" w:line="240" w:lineRule="auto"/>
      <w:jc w:val="center"/>
    </w:pPr>
    <w:r>
      <w:rPr>
        <w:rFonts w:ascii="Times New Roman" w:hAnsi="Times New Roman"/>
      </w:rPr>
      <w:t>C</w:t>
    </w:r>
    <w:r>
      <w:rPr>
        <w:rFonts w:ascii="Times New Roman" w:hAnsi="Times New Roman"/>
        <w:sz w:val="16"/>
        <w:szCs w:val="16"/>
      </w:rPr>
      <w:t>ONSIGLIO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sz w:val="16"/>
        <w:szCs w:val="16"/>
      </w:rPr>
      <w:t>DELLA</w:t>
    </w:r>
    <w:r>
      <w:rPr>
        <w:rFonts w:ascii="Times New Roman" w:hAnsi="Times New Roman"/>
      </w:rPr>
      <w:t xml:space="preserve"> P</w:t>
    </w:r>
    <w:r>
      <w:rPr>
        <w:rFonts w:ascii="Times New Roman" w:hAnsi="Times New Roman"/>
        <w:sz w:val="16"/>
        <w:szCs w:val="16"/>
      </w:rPr>
      <w:t>ROVINCIA</w:t>
    </w:r>
    <w:r>
      <w:rPr>
        <w:rFonts w:ascii="Times New Roman" w:hAnsi="Times New Roman"/>
      </w:rPr>
      <w:t xml:space="preserve"> A</w:t>
    </w:r>
    <w:r>
      <w:rPr>
        <w:rFonts w:ascii="Times New Roman" w:hAnsi="Times New Roman"/>
        <w:sz w:val="16"/>
        <w:szCs w:val="16"/>
      </w:rPr>
      <w:t>UTONOMA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sz w:val="16"/>
        <w:szCs w:val="16"/>
      </w:rPr>
      <w:t>DI</w:t>
    </w:r>
    <w:r>
      <w:rPr>
        <w:rFonts w:ascii="Times New Roman" w:hAnsi="Times New Roman"/>
      </w:rPr>
      <w:t xml:space="preserve"> T</w:t>
    </w:r>
    <w:r>
      <w:rPr>
        <w:rFonts w:ascii="Times New Roman" w:hAnsi="Times New Roman"/>
        <w:sz w:val="16"/>
        <w:szCs w:val="16"/>
      </w:rPr>
      <w:t>RENTO</w:t>
    </w:r>
  </w:p>
  <w:p w14:paraId="15FB048D" w14:textId="77777777" w:rsidR="00032C73" w:rsidRDefault="00584F68">
    <w:pPr>
      <w:pStyle w:val="Intestazione"/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Gruppo consiliare provinciale del Partito Democratico del Trentino</w:t>
    </w:r>
  </w:p>
  <w:p w14:paraId="59EA622C" w14:textId="77777777" w:rsidR="00032C73" w:rsidRDefault="00032C73">
    <w:pPr>
      <w:pStyle w:val="Intestazione"/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15E41"/>
    <w:multiLevelType w:val="multilevel"/>
    <w:tmpl w:val="80826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9C6553"/>
    <w:multiLevelType w:val="multilevel"/>
    <w:tmpl w:val="E01AEE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73"/>
    <w:rsid w:val="00032C73"/>
    <w:rsid w:val="00584F68"/>
    <w:rsid w:val="0064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D53525"/>
  <w15:docId w15:val="{D597AB1B-5ADC-AA46-9ABD-3CE47DCD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spacing w:after="160" w:line="252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sz w:val="22"/>
      <w:szCs w:val="22"/>
    </w:rPr>
  </w:style>
  <w:style w:type="character" w:customStyle="1" w:styleId="PidipaginaCarattere">
    <w:name w:val="Piè di pagina Carattere"/>
    <w:qFormat/>
    <w:rPr>
      <w:sz w:val="22"/>
      <w:szCs w:val="22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TestonormaleCarattere">
    <w:name w:val="Testo normale Carattere"/>
    <w:qFormat/>
    <w:rPr>
      <w:sz w:val="22"/>
      <w:szCs w:val="21"/>
    </w:rPr>
  </w:style>
  <w:style w:type="character" w:customStyle="1" w:styleId="Enfasi">
    <w:name w:val="Enfasi"/>
    <w:qFormat/>
    <w:rPr>
      <w:i/>
      <w:iCs/>
    </w:rPr>
  </w:style>
  <w:style w:type="character" w:customStyle="1" w:styleId="Caratteridinumerazione">
    <w:name w:val="Caratteri di numerazione"/>
    <w:qFormat/>
  </w:style>
  <w:style w:type="character" w:customStyle="1" w:styleId="Enfasiforte">
    <w:name w:val="Enfasi forte"/>
    <w:qFormat/>
    <w:rPr>
      <w:b/>
      <w:bCs/>
    </w:rPr>
  </w:style>
  <w:style w:type="character" w:customStyle="1" w:styleId="CollegamentoInternet">
    <w:name w:val="Collegamento Internet"/>
    <w:rPr>
      <w:color w:val="000080"/>
      <w:u w:val="single"/>
      <w:lang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normale">
    <w:name w:val="Plain Text"/>
    <w:basedOn w:val="Normale"/>
    <w:qFormat/>
    <w:pPr>
      <w:spacing w:after="0" w:line="240" w:lineRule="auto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mozione_pdt</dc:title>
  <dc:subject/>
  <dc:creator>adele gerardi</dc:creator>
  <dc:description/>
  <cp:lastModifiedBy>adele gerardi</cp:lastModifiedBy>
  <cp:revision>2</cp:revision>
  <dcterms:created xsi:type="dcterms:W3CDTF">2021-05-17T13:44:00Z</dcterms:created>
  <dcterms:modified xsi:type="dcterms:W3CDTF">2021-05-17T13:44:00Z</dcterms:modified>
  <dc:language>it-IT</dc:language>
</cp:coreProperties>
</file>